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6588" w14:textId="31C27B67" w:rsidR="00001BE0" w:rsidRPr="0041511C" w:rsidRDefault="00001BE0" w:rsidP="0059284E">
      <w:pPr>
        <w:pStyle w:val="NoSpacing"/>
        <w:jc w:val="both"/>
        <w:rPr>
          <w:rFonts w:ascii="Tahoma" w:hAnsi="Tahoma" w:cs="Tahoma"/>
          <w:b/>
          <w:bCs/>
          <w:sz w:val="24"/>
          <w:szCs w:val="24"/>
        </w:rPr>
      </w:pPr>
      <w:r w:rsidRPr="0041511C">
        <w:rPr>
          <w:rFonts w:ascii="Tahoma" w:hAnsi="Tahoma" w:cs="Tahoma"/>
          <w:b/>
          <w:bCs/>
          <w:sz w:val="24"/>
          <w:szCs w:val="24"/>
        </w:rPr>
        <w:t xml:space="preserve">PRIVATE WEALTH​ - </w:t>
      </w:r>
      <w:r w:rsidR="003054E5" w:rsidRPr="0041511C">
        <w:rPr>
          <w:rFonts w:ascii="Tahoma" w:hAnsi="Tahoma" w:cs="Tahoma"/>
          <w:b/>
          <w:bCs/>
          <w:sz w:val="24"/>
          <w:szCs w:val="24"/>
        </w:rPr>
        <w:t>PROTECT</w:t>
      </w:r>
      <w:r w:rsidRPr="0041511C">
        <w:rPr>
          <w:rFonts w:ascii="Tahoma" w:hAnsi="Tahoma" w:cs="Tahoma"/>
          <w:b/>
          <w:bCs/>
          <w:sz w:val="24"/>
          <w:szCs w:val="24"/>
        </w:rPr>
        <w:t xml:space="preserve"> YOUR LEGACY​</w:t>
      </w:r>
    </w:p>
    <w:p w14:paraId="1FF95FF5" w14:textId="77777777" w:rsidR="00085D0A" w:rsidRPr="0041511C" w:rsidRDefault="00085D0A" w:rsidP="0059284E">
      <w:pPr>
        <w:pStyle w:val="NoSpacing"/>
        <w:jc w:val="both"/>
        <w:rPr>
          <w:rFonts w:ascii="Tahoma" w:hAnsi="Tahoma" w:cs="Tahoma"/>
          <w:b/>
          <w:bCs/>
          <w:sz w:val="24"/>
          <w:szCs w:val="24"/>
        </w:rPr>
      </w:pPr>
    </w:p>
    <w:p w14:paraId="2482D442" w14:textId="2535E75B" w:rsidR="00085D0A" w:rsidRPr="0041511C" w:rsidRDefault="00085D0A" w:rsidP="0059284E">
      <w:pPr>
        <w:pStyle w:val="NoSpacing"/>
        <w:jc w:val="both"/>
        <w:rPr>
          <w:rFonts w:ascii="Tahoma" w:hAnsi="Tahoma" w:cs="Tahoma"/>
          <w:b/>
          <w:bCs/>
          <w:sz w:val="24"/>
          <w:szCs w:val="24"/>
        </w:rPr>
      </w:pPr>
      <w:r w:rsidRPr="0041511C">
        <w:rPr>
          <w:rFonts w:ascii="Tahoma" w:hAnsi="Tahoma" w:cs="Tahoma"/>
          <w:b/>
          <w:bCs/>
          <w:sz w:val="24"/>
          <w:szCs w:val="24"/>
        </w:rPr>
        <w:t>Sustain, enhance, and protect your wealth​</w:t>
      </w:r>
    </w:p>
    <w:p w14:paraId="4A159D53" w14:textId="6E6AEAC3" w:rsidR="00085D0A" w:rsidRPr="0041511C" w:rsidRDefault="00085D0A" w:rsidP="0059284E">
      <w:pPr>
        <w:pStyle w:val="NoSpacing"/>
        <w:jc w:val="both"/>
        <w:rPr>
          <w:rFonts w:ascii="Tahoma" w:hAnsi="Tahoma" w:cs="Tahoma"/>
          <w:sz w:val="24"/>
          <w:szCs w:val="24"/>
        </w:rPr>
      </w:pPr>
      <w:r w:rsidRPr="0041511C">
        <w:rPr>
          <w:rFonts w:ascii="Tahoma" w:hAnsi="Tahoma" w:cs="Tahoma"/>
          <w:sz w:val="24"/>
          <w:szCs w:val="24"/>
        </w:rPr>
        <w:t>​</w:t>
      </w:r>
      <w:r w:rsidRPr="0041511C">
        <w:rPr>
          <w:rFonts w:ascii="Tahoma" w:hAnsi="Tahoma" w:cs="Tahoma"/>
          <w:b/>
          <w:bCs/>
          <w:sz w:val="24"/>
          <w:szCs w:val="24"/>
        </w:rPr>
        <w:t>AideOne’s</w:t>
      </w:r>
      <w:r w:rsidRPr="0041511C">
        <w:rPr>
          <w:rFonts w:ascii="Tahoma" w:hAnsi="Tahoma" w:cs="Tahoma"/>
          <w:sz w:val="24"/>
          <w:szCs w:val="24"/>
        </w:rPr>
        <w:t xml:space="preserve"> Private Wealth solution focuses on the specialized needs and circumstances of the ultra-wealthy, including multi-generational families, entrepreneurs, and closely held business owners. In an era of complex tax laws, stringent regulations, and a turbulent investment environment, we are highly trusted advisers with knowledge</w:t>
      </w:r>
      <w:r w:rsidR="00967C70" w:rsidRPr="0041511C">
        <w:rPr>
          <w:rFonts w:ascii="Tahoma" w:hAnsi="Tahoma" w:cs="Tahoma"/>
          <w:sz w:val="24"/>
          <w:szCs w:val="24"/>
        </w:rPr>
        <w:t xml:space="preserve">, </w:t>
      </w:r>
      <w:r w:rsidRPr="0041511C">
        <w:rPr>
          <w:rFonts w:ascii="Tahoma" w:hAnsi="Tahoma" w:cs="Tahoma"/>
          <w:sz w:val="24"/>
          <w:szCs w:val="24"/>
        </w:rPr>
        <w:t>experience</w:t>
      </w:r>
      <w:r w:rsidR="00967C70" w:rsidRPr="0041511C">
        <w:rPr>
          <w:rFonts w:ascii="Tahoma" w:hAnsi="Tahoma" w:cs="Tahoma"/>
          <w:sz w:val="24"/>
          <w:szCs w:val="24"/>
        </w:rPr>
        <w:t xml:space="preserve"> and </w:t>
      </w:r>
      <w:r w:rsidRPr="0041511C">
        <w:rPr>
          <w:rFonts w:ascii="Tahoma" w:hAnsi="Tahoma" w:cs="Tahoma"/>
          <w:sz w:val="24"/>
          <w:szCs w:val="24"/>
        </w:rPr>
        <w:t>broad resources</w:t>
      </w:r>
      <w:r w:rsidR="00967C70" w:rsidRPr="0041511C">
        <w:rPr>
          <w:rFonts w:ascii="Tahoma" w:hAnsi="Tahoma" w:cs="Tahoma"/>
          <w:sz w:val="24"/>
          <w:szCs w:val="24"/>
        </w:rPr>
        <w:t>.</w:t>
      </w:r>
      <w:r w:rsidRPr="0041511C">
        <w:rPr>
          <w:rFonts w:ascii="Tahoma" w:hAnsi="Tahoma" w:cs="Tahoma"/>
          <w:sz w:val="24"/>
          <w:szCs w:val="24"/>
        </w:rPr>
        <w:t>​</w:t>
      </w:r>
    </w:p>
    <w:p w14:paraId="3A415F94" w14:textId="77777777" w:rsidR="00085D0A" w:rsidRPr="0041511C" w:rsidRDefault="00085D0A" w:rsidP="0059284E">
      <w:pPr>
        <w:pStyle w:val="NoSpacing"/>
        <w:jc w:val="both"/>
        <w:rPr>
          <w:rFonts w:ascii="Tahoma" w:hAnsi="Tahoma" w:cs="Tahoma"/>
          <w:sz w:val="24"/>
          <w:szCs w:val="24"/>
        </w:rPr>
      </w:pPr>
    </w:p>
    <w:p w14:paraId="12F93E48" w14:textId="77777777" w:rsidR="00085D0A" w:rsidRPr="0041511C" w:rsidRDefault="00085D0A" w:rsidP="0059284E">
      <w:pPr>
        <w:pStyle w:val="NoSpacing"/>
        <w:jc w:val="both"/>
        <w:rPr>
          <w:rFonts w:ascii="Tahoma" w:hAnsi="Tahoma" w:cs="Tahoma"/>
          <w:b/>
          <w:bCs/>
          <w:sz w:val="24"/>
          <w:szCs w:val="24"/>
        </w:rPr>
      </w:pPr>
      <w:r w:rsidRPr="0041511C">
        <w:rPr>
          <w:rFonts w:ascii="Tahoma" w:hAnsi="Tahoma" w:cs="Tahoma"/>
          <w:b/>
          <w:bCs/>
          <w:sz w:val="24"/>
          <w:szCs w:val="24"/>
        </w:rPr>
        <w:t>Customized for your needs and circumstances​</w:t>
      </w:r>
    </w:p>
    <w:p w14:paraId="19E69629" w14:textId="7B8FEAA7" w:rsidR="00085D0A" w:rsidRPr="0041511C" w:rsidRDefault="00085D0A" w:rsidP="0059284E">
      <w:pPr>
        <w:pStyle w:val="NoSpacing"/>
        <w:jc w:val="both"/>
        <w:rPr>
          <w:rFonts w:ascii="Tahoma" w:hAnsi="Tahoma" w:cs="Tahoma"/>
          <w:sz w:val="24"/>
          <w:szCs w:val="24"/>
        </w:rPr>
      </w:pPr>
      <w:r w:rsidRPr="0041511C">
        <w:rPr>
          <w:rFonts w:ascii="Tahoma" w:hAnsi="Tahoma" w:cs="Tahoma"/>
          <w:sz w:val="24"/>
          <w:szCs w:val="24"/>
        </w:rPr>
        <w:t>Today’s environment presents ultra-wealthy families and their advisers with both potential opportunities and unprecedented complexity.​</w:t>
      </w:r>
      <w:r w:rsidR="00967C70" w:rsidRPr="0041511C">
        <w:rPr>
          <w:rFonts w:ascii="Tahoma" w:hAnsi="Tahoma" w:cs="Tahoma"/>
          <w:sz w:val="24"/>
          <w:szCs w:val="24"/>
        </w:rPr>
        <w:t xml:space="preserve"> </w:t>
      </w:r>
      <w:r w:rsidRPr="0041511C">
        <w:rPr>
          <w:rFonts w:ascii="Tahoma" w:hAnsi="Tahoma" w:cs="Tahoma"/>
          <w:sz w:val="24"/>
          <w:szCs w:val="24"/>
        </w:rPr>
        <w:t>How well do your succession plans balance the interests of multiple generations and multiple entities?​ How is globalization</w:t>
      </w:r>
      <w:r w:rsidR="0059284E" w:rsidRPr="0041511C">
        <w:rPr>
          <w:rFonts w:ascii="Tahoma" w:hAnsi="Tahoma" w:cs="Tahoma"/>
          <w:sz w:val="24"/>
          <w:szCs w:val="24"/>
        </w:rPr>
        <w:t xml:space="preserve"> and digital economy</w:t>
      </w:r>
      <w:r w:rsidRPr="0041511C">
        <w:rPr>
          <w:rFonts w:ascii="Tahoma" w:hAnsi="Tahoma" w:cs="Tahoma"/>
          <w:sz w:val="24"/>
          <w:szCs w:val="24"/>
        </w:rPr>
        <w:t xml:space="preserve"> changing your wealth creation opportunities?​</w:t>
      </w:r>
      <w:r w:rsidR="00967C70" w:rsidRPr="0041511C">
        <w:rPr>
          <w:rFonts w:ascii="Tahoma" w:hAnsi="Tahoma" w:cs="Tahoma"/>
          <w:sz w:val="24"/>
          <w:szCs w:val="24"/>
        </w:rPr>
        <w:t xml:space="preserve"> </w:t>
      </w:r>
      <w:r w:rsidRPr="0041511C">
        <w:rPr>
          <w:rFonts w:ascii="Tahoma" w:hAnsi="Tahoma" w:cs="Tahoma"/>
          <w:sz w:val="24"/>
          <w:szCs w:val="24"/>
        </w:rPr>
        <w:t>How confident are you in the steps taken to respond to evolving financial, technology, compliance, and other risks?​</w:t>
      </w:r>
    </w:p>
    <w:p w14:paraId="3E1B632F" w14:textId="77777777" w:rsidR="00085D0A" w:rsidRPr="0041511C" w:rsidRDefault="00085D0A" w:rsidP="0059284E">
      <w:pPr>
        <w:pStyle w:val="NoSpacing"/>
        <w:jc w:val="both"/>
        <w:rPr>
          <w:rFonts w:ascii="Tahoma" w:hAnsi="Tahoma" w:cs="Tahoma"/>
          <w:sz w:val="24"/>
          <w:szCs w:val="24"/>
        </w:rPr>
      </w:pPr>
    </w:p>
    <w:p w14:paraId="3BB8D612" w14:textId="77777777" w:rsidR="00085D0A" w:rsidRPr="0041511C" w:rsidRDefault="00085D0A" w:rsidP="0059284E">
      <w:pPr>
        <w:pStyle w:val="NoSpacing"/>
        <w:jc w:val="both"/>
        <w:rPr>
          <w:rFonts w:ascii="Tahoma" w:hAnsi="Tahoma" w:cs="Tahoma"/>
          <w:sz w:val="24"/>
          <w:szCs w:val="24"/>
        </w:rPr>
      </w:pPr>
      <w:r w:rsidRPr="0041511C">
        <w:rPr>
          <w:rFonts w:ascii="Tahoma" w:hAnsi="Tahoma" w:cs="Tahoma"/>
          <w:sz w:val="24"/>
          <w:szCs w:val="24"/>
        </w:rPr>
        <w:t>How can our Private Wealth team help you pursue financial, charitable, and personal objectives?</w:t>
      </w:r>
    </w:p>
    <w:p w14:paraId="01EDB989" w14:textId="77777777" w:rsidR="00001BE0" w:rsidRPr="0041511C" w:rsidRDefault="00001BE0" w:rsidP="0059284E">
      <w:pPr>
        <w:pStyle w:val="NoSpacing"/>
        <w:jc w:val="both"/>
        <w:rPr>
          <w:rFonts w:ascii="Tahoma" w:hAnsi="Tahoma" w:cs="Tahoma"/>
          <w:b/>
          <w:bCs/>
          <w:sz w:val="24"/>
          <w:szCs w:val="24"/>
        </w:rPr>
      </w:pPr>
    </w:p>
    <w:p w14:paraId="75899BEA" w14:textId="1C4631CE" w:rsidR="00001BE0" w:rsidRPr="0041511C" w:rsidRDefault="00001BE0" w:rsidP="0059284E">
      <w:pPr>
        <w:pStyle w:val="NoSpacing"/>
        <w:jc w:val="both"/>
        <w:rPr>
          <w:rFonts w:ascii="Tahoma" w:hAnsi="Tahoma" w:cs="Tahoma"/>
          <w:b/>
          <w:bCs/>
          <w:sz w:val="24"/>
          <w:szCs w:val="24"/>
        </w:rPr>
      </w:pPr>
      <w:r w:rsidRPr="0041511C">
        <w:rPr>
          <w:rFonts w:ascii="Tahoma" w:hAnsi="Tahoma" w:cs="Tahoma"/>
          <w:b/>
          <w:bCs/>
          <w:sz w:val="24"/>
          <w:szCs w:val="24"/>
        </w:rPr>
        <w:t>Broad-based capabilities​</w:t>
      </w:r>
    </w:p>
    <w:p w14:paraId="415847F2" w14:textId="29AE0019" w:rsidR="00001BE0" w:rsidRPr="0041511C" w:rsidRDefault="00001BE0" w:rsidP="0059284E">
      <w:pPr>
        <w:pStyle w:val="NoSpacing"/>
        <w:jc w:val="both"/>
        <w:rPr>
          <w:rFonts w:ascii="Tahoma" w:hAnsi="Tahoma" w:cs="Tahoma"/>
          <w:sz w:val="24"/>
          <w:szCs w:val="24"/>
        </w:rPr>
      </w:pPr>
      <w:r w:rsidRPr="0041511C">
        <w:rPr>
          <w:rFonts w:ascii="Tahoma" w:hAnsi="Tahoma" w:cs="Tahoma"/>
          <w:sz w:val="24"/>
          <w:szCs w:val="24"/>
        </w:rPr>
        <w:t xml:space="preserve">We help clients navigate a broad range of wealth strategies, issues and topics, such as those below. </w:t>
      </w:r>
      <w:r w:rsidR="0059284E" w:rsidRPr="0041511C">
        <w:rPr>
          <w:rFonts w:ascii="Tahoma" w:hAnsi="Tahoma" w:cs="Tahoma"/>
          <w:sz w:val="24"/>
          <w:szCs w:val="24"/>
        </w:rPr>
        <w:t>So, w</w:t>
      </w:r>
      <w:r w:rsidRPr="0041511C">
        <w:rPr>
          <w:rFonts w:ascii="Tahoma" w:hAnsi="Tahoma" w:cs="Tahoma"/>
          <w:sz w:val="24"/>
          <w:szCs w:val="24"/>
        </w:rPr>
        <w:t>hat’s on your mind?​</w:t>
      </w:r>
    </w:p>
    <w:p w14:paraId="6E4C9145" w14:textId="66F71F65" w:rsidR="00001BE0" w:rsidRPr="0041511C" w:rsidRDefault="00001BE0" w:rsidP="0059284E">
      <w:pPr>
        <w:pStyle w:val="NoSpacing"/>
        <w:jc w:val="both"/>
        <w:rPr>
          <w:rFonts w:ascii="Tahoma" w:hAnsi="Tahoma" w:cs="Tahoma"/>
          <w:sz w:val="24"/>
          <w:szCs w:val="24"/>
        </w:rPr>
      </w:pPr>
    </w:p>
    <w:p w14:paraId="317C5FFA" w14:textId="2379A5A4" w:rsidR="00001BE0" w:rsidRPr="0041511C" w:rsidRDefault="00001BE0" w:rsidP="0059284E">
      <w:pPr>
        <w:pStyle w:val="NoSpacing"/>
        <w:jc w:val="both"/>
        <w:rPr>
          <w:rFonts w:ascii="Tahoma" w:hAnsi="Tahoma" w:cs="Tahoma"/>
          <w:sz w:val="24"/>
          <w:szCs w:val="24"/>
        </w:rPr>
      </w:pPr>
      <w:r w:rsidRPr="0041511C">
        <w:rPr>
          <w:rFonts w:ascii="Tahoma" w:hAnsi="Tahoma" w:cs="Tahoma"/>
        </w:rPr>
        <w:t> </w:t>
      </w:r>
      <w:r w:rsidRPr="0041511C">
        <w:rPr>
          <w:rFonts w:ascii="Tahoma" w:hAnsi="Tahoma" w:cs="Tahoma"/>
          <w:noProof/>
        </w:rPr>
        <w:drawing>
          <wp:inline distT="0" distB="0" distL="0" distR="0" wp14:anchorId="458C2778" wp14:editId="46937EF0">
            <wp:extent cx="336550" cy="342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50" cy="342900"/>
                    </a:xfrm>
                    <a:prstGeom prst="rect">
                      <a:avLst/>
                    </a:prstGeom>
                    <a:noFill/>
                    <a:ln>
                      <a:noFill/>
                    </a:ln>
                  </pic:spPr>
                </pic:pic>
              </a:graphicData>
            </a:graphic>
          </wp:inline>
        </w:drawing>
      </w:r>
    </w:p>
    <w:p w14:paraId="1B84F46A" w14:textId="221CAE52" w:rsidR="00E60286" w:rsidRPr="0041511C" w:rsidRDefault="00E60286" w:rsidP="0059284E">
      <w:pPr>
        <w:pStyle w:val="NoSpacing"/>
        <w:jc w:val="both"/>
        <w:rPr>
          <w:rFonts w:ascii="Tahoma" w:hAnsi="Tahoma" w:cs="Tahoma"/>
          <w:b/>
          <w:bCs/>
          <w:sz w:val="24"/>
          <w:szCs w:val="24"/>
        </w:rPr>
      </w:pPr>
      <w:r w:rsidRPr="0041511C">
        <w:rPr>
          <w:rFonts w:ascii="Tahoma" w:hAnsi="Tahoma" w:cs="Tahoma"/>
          <w:b/>
          <w:bCs/>
          <w:sz w:val="24"/>
          <w:szCs w:val="24"/>
        </w:rPr>
        <w:t>Family Wealth Planning​</w:t>
      </w:r>
    </w:p>
    <w:p w14:paraId="0564E5C1"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Individual, trust and entity tax planning and compliance​</w:t>
      </w:r>
    </w:p>
    <w:p w14:paraId="396496B4"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Residency, domicile, and multistate planning​</w:t>
      </w:r>
    </w:p>
    <w:p w14:paraId="1D2166EC"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International tax and estate planning​</w:t>
      </w:r>
    </w:p>
    <w:p w14:paraId="3F532F65"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Reporting for financial accounts held outside the United States (FATCA)​</w:t>
      </w:r>
    </w:p>
    <w:p w14:paraId="4C3882CA"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Global wealth examinations​</w:t>
      </w:r>
    </w:p>
    <w:p w14:paraId="6DC03C3D"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Wealth transfer planning​</w:t>
      </w:r>
    </w:p>
    <w:p w14:paraId="17CA30C2"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Private foundations and charitable giving strategies​</w:t>
      </w:r>
    </w:p>
    <w:p w14:paraId="72D0F786"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Private trust companies​</w:t>
      </w:r>
    </w:p>
    <w:p w14:paraId="13C32C6C"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Tax planning and compliance for unique asset classes (art, private aircraft, yachts, etc.)​</w:t>
      </w:r>
    </w:p>
    <w:p w14:paraId="2E9B15E7" w14:textId="77777777" w:rsidR="00E60286"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Valuations​</w:t>
      </w:r>
    </w:p>
    <w:p w14:paraId="2EEC9D4D" w14:textId="0CD44000" w:rsidR="00BF5387" w:rsidRPr="0041511C" w:rsidRDefault="00E60286" w:rsidP="0059284E">
      <w:pPr>
        <w:pStyle w:val="NoSpacing"/>
        <w:numPr>
          <w:ilvl w:val="0"/>
          <w:numId w:val="1"/>
        </w:numPr>
        <w:jc w:val="both"/>
        <w:rPr>
          <w:rFonts w:ascii="Tahoma" w:hAnsi="Tahoma" w:cs="Tahoma"/>
          <w:sz w:val="24"/>
          <w:szCs w:val="24"/>
        </w:rPr>
      </w:pPr>
      <w:r w:rsidRPr="0041511C">
        <w:rPr>
          <w:rFonts w:ascii="Tahoma" w:hAnsi="Tahoma" w:cs="Tahoma"/>
          <w:sz w:val="24"/>
          <w:szCs w:val="24"/>
        </w:rPr>
        <w:t>Post-mortem estate administration</w:t>
      </w:r>
    </w:p>
    <w:p w14:paraId="38D9D60D" w14:textId="17F571FD" w:rsidR="00001BE0" w:rsidRPr="0041511C" w:rsidRDefault="00001BE0" w:rsidP="0059284E">
      <w:pPr>
        <w:pStyle w:val="NoSpacing"/>
        <w:jc w:val="both"/>
        <w:rPr>
          <w:rFonts w:ascii="Tahoma" w:hAnsi="Tahoma" w:cs="Tahoma"/>
          <w:sz w:val="24"/>
          <w:szCs w:val="24"/>
        </w:rPr>
      </w:pPr>
    </w:p>
    <w:p w14:paraId="3E22B267" w14:textId="5422FBCC" w:rsidR="00001BE0" w:rsidRPr="0041511C" w:rsidRDefault="00001BE0" w:rsidP="0059284E">
      <w:pPr>
        <w:pStyle w:val="NoSpacing"/>
        <w:jc w:val="both"/>
        <w:rPr>
          <w:rFonts w:ascii="Tahoma" w:hAnsi="Tahoma" w:cs="Tahoma"/>
          <w:sz w:val="24"/>
          <w:szCs w:val="24"/>
        </w:rPr>
      </w:pPr>
    </w:p>
    <w:p w14:paraId="5D22ADE7" w14:textId="6D7A1782" w:rsidR="00001BE0" w:rsidRPr="0041511C" w:rsidRDefault="00001BE0" w:rsidP="0059284E">
      <w:pPr>
        <w:pStyle w:val="NoSpacing"/>
        <w:jc w:val="both"/>
        <w:rPr>
          <w:rFonts w:ascii="Tahoma" w:hAnsi="Tahoma" w:cs="Tahoma"/>
        </w:rPr>
      </w:pPr>
      <w:r w:rsidRPr="0041511C">
        <w:rPr>
          <w:rFonts w:ascii="Tahoma" w:hAnsi="Tahoma" w:cs="Tahoma"/>
        </w:rPr>
        <w:t> </w:t>
      </w:r>
      <w:r w:rsidRPr="0041511C">
        <w:rPr>
          <w:rFonts w:ascii="Tahoma" w:hAnsi="Tahoma" w:cs="Tahoma"/>
          <w:noProof/>
        </w:rPr>
        <w:drawing>
          <wp:inline distT="0" distB="0" distL="0" distR="0" wp14:anchorId="12D55A1A" wp14:editId="76A951B1">
            <wp:extent cx="342900" cy="355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55600"/>
                    </a:xfrm>
                    <a:prstGeom prst="rect">
                      <a:avLst/>
                    </a:prstGeom>
                    <a:noFill/>
                    <a:ln>
                      <a:noFill/>
                    </a:ln>
                  </pic:spPr>
                </pic:pic>
              </a:graphicData>
            </a:graphic>
          </wp:inline>
        </w:drawing>
      </w:r>
    </w:p>
    <w:p w14:paraId="0CBAFD2C" w14:textId="77777777" w:rsidR="00001BE0" w:rsidRPr="0041511C" w:rsidRDefault="00001BE0" w:rsidP="0059284E">
      <w:pPr>
        <w:pStyle w:val="NoSpacing"/>
        <w:jc w:val="both"/>
        <w:rPr>
          <w:rFonts w:ascii="Tahoma" w:hAnsi="Tahoma" w:cs="Tahoma"/>
          <w:b/>
          <w:bCs/>
          <w:sz w:val="24"/>
          <w:szCs w:val="24"/>
        </w:rPr>
      </w:pPr>
      <w:r w:rsidRPr="0041511C">
        <w:rPr>
          <w:rFonts w:ascii="Tahoma" w:hAnsi="Tahoma" w:cs="Tahoma"/>
          <w:b/>
          <w:bCs/>
          <w:sz w:val="24"/>
          <w:szCs w:val="24"/>
        </w:rPr>
        <w:t>Family Offices​</w:t>
      </w:r>
    </w:p>
    <w:p w14:paraId="7C8F2BD7"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lastRenderedPageBreak/>
        <w:t>Family office scope: Who does it serve?​</w:t>
      </w:r>
    </w:p>
    <w:p w14:paraId="1B91D36A"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What services does it provide?​</w:t>
      </w:r>
    </w:p>
    <w:p w14:paraId="44684A2C"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Funding mechanisms​</w:t>
      </w:r>
    </w:p>
    <w:p w14:paraId="6FF24A74"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Structure and ownership​</w:t>
      </w:r>
    </w:p>
    <w:p w14:paraId="3D1F477E"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Policies and procedures​</w:t>
      </w:r>
    </w:p>
    <w:p w14:paraId="74067048"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Cash-flow planning​</w:t>
      </w:r>
    </w:p>
    <w:p w14:paraId="360E6D3F"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Financial reporting systems and software​</w:t>
      </w:r>
    </w:p>
    <w:p w14:paraId="6281E3B9"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Internal process/procedures and information technology reviews​</w:t>
      </w:r>
    </w:p>
    <w:p w14:paraId="2C0A283E"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Forensic and investigative services​</w:t>
      </w:r>
    </w:p>
    <w:p w14:paraId="1CB6ABEA"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Compensation planning to attract and retain family office executives​</w:t>
      </w:r>
    </w:p>
    <w:p w14:paraId="26EDFE3C" w14:textId="77777777" w:rsidR="00001BE0" w:rsidRPr="0041511C" w:rsidRDefault="00001BE0" w:rsidP="0059284E">
      <w:pPr>
        <w:pStyle w:val="NoSpacing"/>
        <w:numPr>
          <w:ilvl w:val="0"/>
          <w:numId w:val="1"/>
        </w:numPr>
        <w:jc w:val="both"/>
        <w:rPr>
          <w:rFonts w:ascii="Tahoma" w:hAnsi="Tahoma" w:cs="Tahoma"/>
          <w:sz w:val="24"/>
          <w:szCs w:val="24"/>
        </w:rPr>
      </w:pPr>
      <w:r w:rsidRPr="0041511C">
        <w:rPr>
          <w:rFonts w:ascii="Tahoma" w:hAnsi="Tahoma" w:cs="Tahoma"/>
          <w:sz w:val="24"/>
          <w:szCs w:val="24"/>
        </w:rPr>
        <w:t>SEC registration and reporting requirements</w:t>
      </w:r>
    </w:p>
    <w:p w14:paraId="7FE4D574" w14:textId="189B160F" w:rsidR="00001BE0" w:rsidRPr="0041511C" w:rsidRDefault="00001BE0" w:rsidP="0059284E">
      <w:pPr>
        <w:pStyle w:val="NoSpacing"/>
        <w:jc w:val="both"/>
        <w:rPr>
          <w:rFonts w:ascii="Tahoma" w:hAnsi="Tahoma" w:cs="Tahoma"/>
          <w:sz w:val="24"/>
          <w:szCs w:val="24"/>
        </w:rPr>
      </w:pPr>
    </w:p>
    <w:p w14:paraId="10A9EEC1" w14:textId="62392985" w:rsidR="00A522C6" w:rsidRPr="0041511C" w:rsidRDefault="00A522C6" w:rsidP="0059284E">
      <w:pPr>
        <w:pStyle w:val="NoSpacing"/>
        <w:jc w:val="both"/>
        <w:rPr>
          <w:rFonts w:ascii="Tahoma" w:hAnsi="Tahoma" w:cs="Tahoma"/>
          <w:sz w:val="24"/>
          <w:szCs w:val="24"/>
        </w:rPr>
      </w:pPr>
    </w:p>
    <w:p w14:paraId="20E02E65" w14:textId="3A635247" w:rsidR="00001BE0" w:rsidRPr="0041511C" w:rsidRDefault="00001BE0" w:rsidP="0059284E">
      <w:pPr>
        <w:pStyle w:val="NoSpacing"/>
        <w:jc w:val="both"/>
        <w:rPr>
          <w:rFonts w:ascii="Tahoma" w:hAnsi="Tahoma" w:cs="Tahoma"/>
        </w:rPr>
      </w:pPr>
      <w:r w:rsidRPr="0041511C">
        <w:rPr>
          <w:rFonts w:ascii="Tahoma" w:hAnsi="Tahoma" w:cs="Tahoma"/>
        </w:rPr>
        <w:t> </w:t>
      </w:r>
      <w:r w:rsidRPr="0041511C">
        <w:rPr>
          <w:rFonts w:ascii="Tahoma" w:hAnsi="Tahoma" w:cs="Tahoma"/>
          <w:noProof/>
        </w:rPr>
        <w:drawing>
          <wp:inline distT="0" distB="0" distL="0" distR="0" wp14:anchorId="1E18C265" wp14:editId="3760F3F1">
            <wp:extent cx="355600" cy="361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361950"/>
                    </a:xfrm>
                    <a:prstGeom prst="rect">
                      <a:avLst/>
                    </a:prstGeom>
                    <a:noFill/>
                    <a:ln>
                      <a:noFill/>
                    </a:ln>
                  </pic:spPr>
                </pic:pic>
              </a:graphicData>
            </a:graphic>
          </wp:inline>
        </w:drawing>
      </w:r>
    </w:p>
    <w:p w14:paraId="132B13AB" w14:textId="77777777" w:rsidR="00A522C6" w:rsidRPr="0041511C" w:rsidRDefault="00A522C6" w:rsidP="0059284E">
      <w:pPr>
        <w:pStyle w:val="NoSpacing"/>
        <w:jc w:val="both"/>
        <w:rPr>
          <w:rFonts w:ascii="Tahoma" w:hAnsi="Tahoma" w:cs="Tahoma"/>
          <w:sz w:val="24"/>
          <w:szCs w:val="24"/>
        </w:rPr>
      </w:pPr>
      <w:r w:rsidRPr="0041511C">
        <w:rPr>
          <w:rFonts w:ascii="Tahoma" w:hAnsi="Tahoma" w:cs="Tahoma"/>
          <w:b/>
          <w:bCs/>
          <w:sz w:val="24"/>
          <w:szCs w:val="24"/>
        </w:rPr>
        <w:t>Family Investment Partnerships</w:t>
      </w:r>
      <w:r w:rsidRPr="0041511C">
        <w:rPr>
          <w:rFonts w:ascii="Tahoma" w:hAnsi="Tahoma" w:cs="Tahoma"/>
          <w:sz w:val="24"/>
          <w:szCs w:val="24"/>
        </w:rPr>
        <w:t>​</w:t>
      </w:r>
    </w:p>
    <w:p w14:paraId="2E7FF9A9" w14:textId="77777777" w:rsidR="00A522C6" w:rsidRPr="0041511C" w:rsidRDefault="00A522C6" w:rsidP="0059284E">
      <w:pPr>
        <w:pStyle w:val="NoSpacing"/>
        <w:numPr>
          <w:ilvl w:val="0"/>
          <w:numId w:val="3"/>
        </w:numPr>
        <w:jc w:val="both"/>
        <w:rPr>
          <w:rFonts w:ascii="Tahoma" w:hAnsi="Tahoma" w:cs="Tahoma"/>
          <w:sz w:val="24"/>
          <w:szCs w:val="24"/>
        </w:rPr>
      </w:pPr>
      <w:r w:rsidRPr="0041511C">
        <w:rPr>
          <w:rFonts w:ascii="Tahoma" w:hAnsi="Tahoma" w:cs="Tahoma"/>
          <w:sz w:val="24"/>
          <w:szCs w:val="24"/>
        </w:rPr>
        <w:t>Partnership tax planning and compliance​</w:t>
      </w:r>
    </w:p>
    <w:p w14:paraId="66C96B47" w14:textId="77777777" w:rsidR="00A522C6" w:rsidRPr="0041511C" w:rsidRDefault="00A522C6" w:rsidP="0059284E">
      <w:pPr>
        <w:pStyle w:val="NoSpacing"/>
        <w:numPr>
          <w:ilvl w:val="0"/>
          <w:numId w:val="3"/>
        </w:numPr>
        <w:jc w:val="both"/>
        <w:rPr>
          <w:rFonts w:ascii="Tahoma" w:hAnsi="Tahoma" w:cs="Tahoma"/>
          <w:sz w:val="24"/>
          <w:szCs w:val="24"/>
        </w:rPr>
      </w:pPr>
      <w:r w:rsidRPr="0041511C">
        <w:rPr>
          <w:rFonts w:ascii="Tahoma" w:hAnsi="Tahoma" w:cs="Tahoma"/>
          <w:sz w:val="24"/>
          <w:szCs w:val="24"/>
        </w:rPr>
        <w:t>Partnership structuring for multiple asset classes​</w:t>
      </w:r>
    </w:p>
    <w:p w14:paraId="2F33E3EF" w14:textId="77777777" w:rsidR="00A522C6" w:rsidRPr="0041511C" w:rsidRDefault="00A522C6" w:rsidP="0059284E">
      <w:pPr>
        <w:pStyle w:val="NoSpacing"/>
        <w:numPr>
          <w:ilvl w:val="0"/>
          <w:numId w:val="3"/>
        </w:numPr>
        <w:jc w:val="both"/>
        <w:rPr>
          <w:rFonts w:ascii="Tahoma" w:hAnsi="Tahoma" w:cs="Tahoma"/>
          <w:sz w:val="24"/>
          <w:szCs w:val="24"/>
        </w:rPr>
      </w:pPr>
      <w:r w:rsidRPr="0041511C">
        <w:rPr>
          <w:rFonts w:ascii="Tahoma" w:hAnsi="Tahoma" w:cs="Tahoma"/>
          <w:sz w:val="24"/>
          <w:szCs w:val="24"/>
        </w:rPr>
        <w:t>Carried interest planning​</w:t>
      </w:r>
    </w:p>
    <w:p w14:paraId="6FEB8DDC" w14:textId="77777777" w:rsidR="00A522C6" w:rsidRPr="0041511C" w:rsidRDefault="00A522C6" w:rsidP="0059284E">
      <w:pPr>
        <w:pStyle w:val="NoSpacing"/>
        <w:numPr>
          <w:ilvl w:val="0"/>
          <w:numId w:val="3"/>
        </w:numPr>
        <w:jc w:val="both"/>
        <w:rPr>
          <w:rFonts w:ascii="Tahoma" w:hAnsi="Tahoma" w:cs="Tahoma"/>
          <w:sz w:val="24"/>
          <w:szCs w:val="24"/>
        </w:rPr>
      </w:pPr>
      <w:r w:rsidRPr="0041511C">
        <w:rPr>
          <w:rFonts w:ascii="Tahoma" w:hAnsi="Tahoma" w:cs="Tahoma"/>
          <w:sz w:val="24"/>
          <w:szCs w:val="24"/>
        </w:rPr>
        <w:t>Investor reporting​</w:t>
      </w:r>
    </w:p>
    <w:p w14:paraId="44BF8B7B" w14:textId="77777777" w:rsidR="00A522C6" w:rsidRPr="0041511C" w:rsidRDefault="00A522C6" w:rsidP="0059284E">
      <w:pPr>
        <w:pStyle w:val="NoSpacing"/>
        <w:numPr>
          <w:ilvl w:val="0"/>
          <w:numId w:val="3"/>
        </w:numPr>
        <w:jc w:val="both"/>
        <w:rPr>
          <w:rFonts w:ascii="Tahoma" w:hAnsi="Tahoma" w:cs="Tahoma"/>
          <w:sz w:val="24"/>
          <w:szCs w:val="24"/>
        </w:rPr>
      </w:pPr>
      <w:r w:rsidRPr="0041511C">
        <w:rPr>
          <w:rFonts w:ascii="Tahoma" w:hAnsi="Tahoma" w:cs="Tahoma"/>
          <w:sz w:val="24"/>
          <w:szCs w:val="24"/>
        </w:rPr>
        <w:t>Technology solutions for the investment structure​</w:t>
      </w:r>
    </w:p>
    <w:p w14:paraId="0F582F49" w14:textId="7B4990C2" w:rsidR="00A522C6" w:rsidRPr="0041511C" w:rsidRDefault="00A522C6" w:rsidP="0059284E">
      <w:pPr>
        <w:pStyle w:val="NoSpacing"/>
        <w:numPr>
          <w:ilvl w:val="0"/>
          <w:numId w:val="3"/>
        </w:numPr>
        <w:jc w:val="both"/>
        <w:rPr>
          <w:rFonts w:ascii="Tahoma" w:hAnsi="Tahoma" w:cs="Tahoma"/>
          <w:sz w:val="24"/>
          <w:szCs w:val="24"/>
        </w:rPr>
      </w:pPr>
      <w:r w:rsidRPr="0041511C">
        <w:rPr>
          <w:rFonts w:ascii="Tahoma" w:hAnsi="Tahoma" w:cs="Tahoma"/>
          <w:sz w:val="24"/>
          <w:szCs w:val="24"/>
        </w:rPr>
        <w:t>Direct private equity services and investment due diligence</w:t>
      </w:r>
    </w:p>
    <w:p w14:paraId="50434D19" w14:textId="40F1A434" w:rsidR="0039371C" w:rsidRPr="0041511C" w:rsidRDefault="0039371C" w:rsidP="0059284E">
      <w:pPr>
        <w:pStyle w:val="NoSpacing"/>
        <w:jc w:val="both"/>
        <w:rPr>
          <w:rFonts w:ascii="Tahoma" w:hAnsi="Tahoma" w:cs="Tahoma"/>
          <w:sz w:val="24"/>
          <w:szCs w:val="24"/>
        </w:rPr>
      </w:pPr>
    </w:p>
    <w:p w14:paraId="11353CDB" w14:textId="6B172741" w:rsidR="0039371C" w:rsidRPr="0041511C" w:rsidRDefault="0039371C" w:rsidP="0059284E">
      <w:pPr>
        <w:pStyle w:val="NoSpacing"/>
        <w:jc w:val="both"/>
        <w:rPr>
          <w:rFonts w:ascii="Tahoma" w:hAnsi="Tahoma" w:cs="Tahoma"/>
          <w:sz w:val="24"/>
          <w:szCs w:val="24"/>
        </w:rPr>
      </w:pPr>
    </w:p>
    <w:p w14:paraId="7249EAE9" w14:textId="72208780" w:rsidR="0039371C" w:rsidRPr="0041511C" w:rsidRDefault="0039371C" w:rsidP="0059284E">
      <w:pPr>
        <w:pStyle w:val="NoSpacing"/>
        <w:jc w:val="both"/>
        <w:rPr>
          <w:rFonts w:ascii="Tahoma" w:hAnsi="Tahoma" w:cs="Tahoma"/>
          <w:sz w:val="24"/>
          <w:szCs w:val="24"/>
        </w:rPr>
      </w:pPr>
      <w:r w:rsidRPr="0041511C">
        <w:rPr>
          <w:rFonts w:ascii="Tahoma" w:hAnsi="Tahoma" w:cs="Tahoma"/>
        </w:rPr>
        <w:t> </w:t>
      </w:r>
      <w:r w:rsidRPr="0041511C">
        <w:rPr>
          <w:rFonts w:ascii="Tahoma" w:hAnsi="Tahoma" w:cs="Tahoma"/>
          <w:noProof/>
        </w:rPr>
        <w:drawing>
          <wp:inline distT="0" distB="0" distL="0" distR="0" wp14:anchorId="6A29129A" wp14:editId="2173CA31">
            <wp:extent cx="355600" cy="361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61950"/>
                    </a:xfrm>
                    <a:prstGeom prst="rect">
                      <a:avLst/>
                    </a:prstGeom>
                    <a:noFill/>
                    <a:ln>
                      <a:noFill/>
                    </a:ln>
                  </pic:spPr>
                </pic:pic>
              </a:graphicData>
            </a:graphic>
          </wp:inline>
        </w:drawing>
      </w:r>
    </w:p>
    <w:p w14:paraId="1F75C8E2" w14:textId="77777777" w:rsidR="0039371C" w:rsidRPr="0041511C" w:rsidRDefault="0039371C" w:rsidP="0059284E">
      <w:pPr>
        <w:pStyle w:val="NoSpacing"/>
        <w:jc w:val="both"/>
        <w:rPr>
          <w:rFonts w:ascii="Tahoma" w:hAnsi="Tahoma" w:cs="Tahoma"/>
          <w:b/>
          <w:bCs/>
          <w:sz w:val="24"/>
          <w:szCs w:val="24"/>
        </w:rPr>
      </w:pPr>
      <w:r w:rsidRPr="0041511C">
        <w:rPr>
          <w:rFonts w:ascii="Tahoma" w:hAnsi="Tahoma" w:cs="Tahoma"/>
          <w:b/>
          <w:bCs/>
          <w:sz w:val="24"/>
          <w:szCs w:val="24"/>
        </w:rPr>
        <w:t>Governance &amp; Succession​</w:t>
      </w:r>
    </w:p>
    <w:p w14:paraId="04A855C1" w14:textId="77777777" w:rsidR="0039371C" w:rsidRPr="0041511C" w:rsidRDefault="0039371C" w:rsidP="0059284E">
      <w:pPr>
        <w:pStyle w:val="NoSpacing"/>
        <w:ind w:left="360"/>
        <w:jc w:val="both"/>
        <w:rPr>
          <w:rFonts w:ascii="Tahoma" w:hAnsi="Tahoma" w:cs="Tahoma"/>
          <w:sz w:val="24"/>
          <w:szCs w:val="24"/>
        </w:rPr>
      </w:pPr>
    </w:p>
    <w:p w14:paraId="48EE83D0" w14:textId="77777777" w:rsidR="0039371C" w:rsidRPr="0041511C" w:rsidRDefault="0039371C" w:rsidP="0059284E">
      <w:pPr>
        <w:pStyle w:val="NoSpacing"/>
        <w:numPr>
          <w:ilvl w:val="0"/>
          <w:numId w:val="3"/>
        </w:numPr>
        <w:jc w:val="both"/>
        <w:rPr>
          <w:rFonts w:ascii="Tahoma" w:hAnsi="Tahoma" w:cs="Tahoma"/>
          <w:sz w:val="24"/>
          <w:szCs w:val="24"/>
        </w:rPr>
      </w:pPr>
      <w:r w:rsidRPr="0041511C">
        <w:rPr>
          <w:rFonts w:ascii="Tahoma" w:hAnsi="Tahoma" w:cs="Tahoma"/>
          <w:sz w:val="24"/>
          <w:szCs w:val="24"/>
        </w:rPr>
        <w:t>Business succession planning​</w:t>
      </w:r>
    </w:p>
    <w:p w14:paraId="1783C7BC" w14:textId="77777777" w:rsidR="0039371C" w:rsidRPr="0041511C" w:rsidRDefault="0039371C" w:rsidP="0059284E">
      <w:pPr>
        <w:pStyle w:val="NoSpacing"/>
        <w:numPr>
          <w:ilvl w:val="0"/>
          <w:numId w:val="3"/>
        </w:numPr>
        <w:jc w:val="both"/>
        <w:rPr>
          <w:rFonts w:ascii="Tahoma" w:hAnsi="Tahoma" w:cs="Tahoma"/>
          <w:sz w:val="24"/>
          <w:szCs w:val="24"/>
        </w:rPr>
      </w:pPr>
      <w:r w:rsidRPr="0041511C">
        <w:rPr>
          <w:rFonts w:ascii="Tahoma" w:hAnsi="Tahoma" w:cs="Tahoma"/>
          <w:sz w:val="24"/>
          <w:szCs w:val="24"/>
        </w:rPr>
        <w:t>Creation and implementation of buy-sell agreements​</w:t>
      </w:r>
    </w:p>
    <w:p w14:paraId="442C4358" w14:textId="77777777" w:rsidR="0039371C" w:rsidRPr="0041511C" w:rsidRDefault="0039371C" w:rsidP="0059284E">
      <w:pPr>
        <w:pStyle w:val="NoSpacing"/>
        <w:numPr>
          <w:ilvl w:val="0"/>
          <w:numId w:val="3"/>
        </w:numPr>
        <w:jc w:val="both"/>
        <w:rPr>
          <w:rFonts w:ascii="Tahoma" w:hAnsi="Tahoma" w:cs="Tahoma"/>
          <w:sz w:val="24"/>
          <w:szCs w:val="24"/>
        </w:rPr>
      </w:pPr>
      <w:r w:rsidRPr="0041511C">
        <w:rPr>
          <w:rFonts w:ascii="Tahoma" w:hAnsi="Tahoma" w:cs="Tahoma"/>
          <w:sz w:val="24"/>
          <w:szCs w:val="24"/>
        </w:rPr>
        <w:t>Shareholder liquidity alternatives​</w:t>
      </w:r>
    </w:p>
    <w:p w14:paraId="01BE9BEB" w14:textId="77777777" w:rsidR="0039371C" w:rsidRPr="0041511C" w:rsidRDefault="0039371C" w:rsidP="0059284E">
      <w:pPr>
        <w:pStyle w:val="NoSpacing"/>
        <w:numPr>
          <w:ilvl w:val="0"/>
          <w:numId w:val="3"/>
        </w:numPr>
        <w:jc w:val="both"/>
        <w:rPr>
          <w:rFonts w:ascii="Tahoma" w:hAnsi="Tahoma" w:cs="Tahoma"/>
          <w:sz w:val="24"/>
          <w:szCs w:val="24"/>
        </w:rPr>
      </w:pPr>
      <w:r w:rsidRPr="0041511C">
        <w:rPr>
          <w:rFonts w:ascii="Tahoma" w:hAnsi="Tahoma" w:cs="Tahoma"/>
          <w:sz w:val="24"/>
          <w:szCs w:val="24"/>
        </w:rPr>
        <w:t>Leadership development​</w:t>
      </w:r>
    </w:p>
    <w:p w14:paraId="55707F9B" w14:textId="77777777" w:rsidR="0039371C" w:rsidRPr="0041511C" w:rsidRDefault="0039371C" w:rsidP="0059284E">
      <w:pPr>
        <w:pStyle w:val="NoSpacing"/>
        <w:numPr>
          <w:ilvl w:val="0"/>
          <w:numId w:val="3"/>
        </w:numPr>
        <w:jc w:val="both"/>
        <w:rPr>
          <w:rFonts w:ascii="Tahoma" w:hAnsi="Tahoma" w:cs="Tahoma"/>
          <w:sz w:val="24"/>
          <w:szCs w:val="24"/>
        </w:rPr>
      </w:pPr>
      <w:r w:rsidRPr="0041511C">
        <w:rPr>
          <w:rFonts w:ascii="Tahoma" w:hAnsi="Tahoma" w:cs="Tahoma"/>
          <w:sz w:val="24"/>
          <w:szCs w:val="24"/>
        </w:rPr>
        <w:t>Governance planning and family dynamics​</w:t>
      </w:r>
    </w:p>
    <w:p w14:paraId="3A49D3C7" w14:textId="77777777" w:rsidR="0039371C" w:rsidRPr="0041511C" w:rsidRDefault="0039371C" w:rsidP="0059284E">
      <w:pPr>
        <w:pStyle w:val="NoSpacing"/>
        <w:numPr>
          <w:ilvl w:val="0"/>
          <w:numId w:val="3"/>
        </w:numPr>
        <w:jc w:val="both"/>
        <w:rPr>
          <w:rFonts w:ascii="Tahoma" w:hAnsi="Tahoma" w:cs="Tahoma"/>
          <w:sz w:val="24"/>
          <w:szCs w:val="24"/>
        </w:rPr>
      </w:pPr>
      <w:r w:rsidRPr="0041511C">
        <w:rPr>
          <w:rFonts w:ascii="Tahoma" w:hAnsi="Tahoma" w:cs="Tahoma"/>
          <w:sz w:val="24"/>
          <w:szCs w:val="24"/>
        </w:rPr>
        <w:t>Preserving personal and family wealth​</w:t>
      </w:r>
    </w:p>
    <w:p w14:paraId="4F25E6AF" w14:textId="1EB2BCFE" w:rsidR="0039371C" w:rsidRPr="0041511C" w:rsidRDefault="0039371C" w:rsidP="0059284E">
      <w:pPr>
        <w:pStyle w:val="NoSpacing"/>
        <w:numPr>
          <w:ilvl w:val="0"/>
          <w:numId w:val="3"/>
        </w:numPr>
        <w:jc w:val="both"/>
        <w:rPr>
          <w:rFonts w:ascii="Tahoma" w:hAnsi="Tahoma" w:cs="Tahoma"/>
          <w:sz w:val="24"/>
          <w:szCs w:val="24"/>
        </w:rPr>
      </w:pPr>
      <w:r w:rsidRPr="0041511C">
        <w:rPr>
          <w:rFonts w:ascii="Tahoma" w:hAnsi="Tahoma" w:cs="Tahoma"/>
          <w:sz w:val="24"/>
          <w:szCs w:val="24"/>
        </w:rPr>
        <w:t>Communicating the succession plan</w:t>
      </w:r>
    </w:p>
    <w:p w14:paraId="4A091A3D" w14:textId="5A407851" w:rsidR="00085D0A" w:rsidRPr="0041511C" w:rsidRDefault="00085D0A" w:rsidP="0059284E">
      <w:pPr>
        <w:pStyle w:val="NoSpacing"/>
        <w:jc w:val="both"/>
        <w:rPr>
          <w:rFonts w:ascii="Tahoma" w:hAnsi="Tahoma" w:cs="Tahoma"/>
          <w:sz w:val="24"/>
          <w:szCs w:val="24"/>
        </w:rPr>
      </w:pPr>
    </w:p>
    <w:p w14:paraId="76549350" w14:textId="64102A9B" w:rsidR="00085D0A" w:rsidRPr="0041511C" w:rsidRDefault="00085D0A" w:rsidP="0059284E">
      <w:pPr>
        <w:pStyle w:val="NoSpacing"/>
        <w:jc w:val="both"/>
        <w:rPr>
          <w:rFonts w:ascii="Tahoma" w:hAnsi="Tahoma" w:cs="Tahoma"/>
          <w:sz w:val="24"/>
          <w:szCs w:val="24"/>
        </w:rPr>
      </w:pPr>
    </w:p>
    <w:p w14:paraId="5B3F5566" w14:textId="27BC02C6" w:rsidR="003E4BC9" w:rsidRPr="0041511C" w:rsidRDefault="003E4BC9" w:rsidP="0059284E">
      <w:pPr>
        <w:pStyle w:val="NoSpacing"/>
        <w:jc w:val="both"/>
        <w:rPr>
          <w:rFonts w:ascii="Tahoma" w:hAnsi="Tahoma" w:cs="Tahoma"/>
          <w:sz w:val="24"/>
          <w:szCs w:val="24"/>
        </w:rPr>
      </w:pPr>
    </w:p>
    <w:p w14:paraId="72C31BCD" w14:textId="420E7851" w:rsidR="003E4BC9" w:rsidRPr="0041511C" w:rsidRDefault="003E4BC9" w:rsidP="0059284E">
      <w:pPr>
        <w:pStyle w:val="NoSpacing"/>
        <w:jc w:val="both"/>
        <w:rPr>
          <w:rFonts w:ascii="Tahoma" w:hAnsi="Tahoma" w:cs="Tahoma"/>
          <w:sz w:val="24"/>
          <w:szCs w:val="24"/>
        </w:rPr>
      </w:pPr>
    </w:p>
    <w:p w14:paraId="402A842E" w14:textId="3A1DC0DD" w:rsidR="003E4BC9" w:rsidRPr="0041511C" w:rsidRDefault="003E4BC9" w:rsidP="0059284E">
      <w:pPr>
        <w:pStyle w:val="NoSpacing"/>
        <w:jc w:val="both"/>
        <w:rPr>
          <w:rFonts w:ascii="Tahoma" w:hAnsi="Tahoma" w:cs="Tahoma"/>
          <w:sz w:val="24"/>
          <w:szCs w:val="24"/>
        </w:rPr>
      </w:pPr>
    </w:p>
    <w:p w14:paraId="227CA432" w14:textId="22B3D7B3" w:rsidR="003E4BC9" w:rsidRPr="0041511C" w:rsidRDefault="003E4BC9" w:rsidP="0059284E">
      <w:pPr>
        <w:pStyle w:val="NoSpacing"/>
        <w:jc w:val="both"/>
        <w:rPr>
          <w:rFonts w:ascii="Tahoma" w:hAnsi="Tahoma" w:cs="Tahoma"/>
          <w:sz w:val="24"/>
          <w:szCs w:val="24"/>
        </w:rPr>
      </w:pPr>
    </w:p>
    <w:p w14:paraId="6866B715" w14:textId="478A7E4A" w:rsidR="003E4BC9" w:rsidRPr="0041511C" w:rsidRDefault="003E4BC9" w:rsidP="0059284E">
      <w:pPr>
        <w:pStyle w:val="NoSpacing"/>
        <w:jc w:val="both"/>
        <w:rPr>
          <w:rFonts w:ascii="Tahoma" w:hAnsi="Tahoma" w:cs="Tahoma"/>
          <w:sz w:val="24"/>
          <w:szCs w:val="24"/>
        </w:rPr>
      </w:pPr>
    </w:p>
    <w:p w14:paraId="271BB8AC" w14:textId="6D886584" w:rsidR="003E4BC9" w:rsidRPr="0041511C" w:rsidRDefault="003E4BC9" w:rsidP="0059284E">
      <w:pPr>
        <w:pStyle w:val="NoSpacing"/>
        <w:jc w:val="both"/>
        <w:rPr>
          <w:rFonts w:ascii="Tahoma" w:hAnsi="Tahoma" w:cs="Tahoma"/>
          <w:sz w:val="24"/>
          <w:szCs w:val="24"/>
        </w:rPr>
      </w:pPr>
    </w:p>
    <w:p w14:paraId="24AB5A49" w14:textId="5CB37A8F" w:rsidR="003E4BC9" w:rsidRPr="0041511C" w:rsidRDefault="003E4BC9" w:rsidP="0059284E">
      <w:pPr>
        <w:pStyle w:val="NoSpacing"/>
        <w:jc w:val="both"/>
        <w:rPr>
          <w:rFonts w:ascii="Tahoma" w:hAnsi="Tahoma" w:cs="Tahoma"/>
          <w:sz w:val="24"/>
          <w:szCs w:val="24"/>
        </w:rPr>
      </w:pPr>
    </w:p>
    <w:p w14:paraId="6C71AA32" w14:textId="5F9B2FBB" w:rsidR="003E4BC9" w:rsidRPr="0041511C" w:rsidRDefault="003E4BC9" w:rsidP="0059284E">
      <w:pPr>
        <w:pStyle w:val="NoSpacing"/>
        <w:jc w:val="both"/>
        <w:rPr>
          <w:rFonts w:ascii="Tahoma" w:hAnsi="Tahoma" w:cs="Tahoma"/>
          <w:sz w:val="24"/>
          <w:szCs w:val="24"/>
        </w:rPr>
      </w:pPr>
    </w:p>
    <w:p w14:paraId="5F83049B" w14:textId="405488D3" w:rsidR="003E4BC9" w:rsidRPr="0041511C" w:rsidRDefault="003E4BC9" w:rsidP="0059284E">
      <w:pPr>
        <w:pStyle w:val="NoSpacing"/>
        <w:jc w:val="both"/>
        <w:rPr>
          <w:rFonts w:ascii="Tahoma" w:hAnsi="Tahoma" w:cs="Tahoma"/>
          <w:sz w:val="24"/>
          <w:szCs w:val="24"/>
        </w:rPr>
      </w:pPr>
    </w:p>
    <w:p w14:paraId="0611CA51" w14:textId="1D135BB7" w:rsidR="003E4BC9" w:rsidRPr="0041511C" w:rsidRDefault="0059284E" w:rsidP="0059284E">
      <w:pPr>
        <w:pStyle w:val="NoSpacing"/>
        <w:jc w:val="both"/>
        <w:rPr>
          <w:rFonts w:ascii="Tahoma" w:hAnsi="Tahoma" w:cs="Tahoma"/>
          <w:sz w:val="24"/>
          <w:szCs w:val="24"/>
        </w:rPr>
      </w:pPr>
      <w:r w:rsidRPr="0041511C">
        <w:rPr>
          <w:rFonts w:ascii="Tahoma" w:hAnsi="Tahoma" w:cs="Tahoma"/>
          <w:b/>
          <w:bCs/>
          <w:sz w:val="24"/>
          <w:szCs w:val="24"/>
        </w:rPr>
        <w:t>AideOne</w:t>
      </w:r>
      <w:r w:rsidRPr="0041511C">
        <w:rPr>
          <w:rFonts w:ascii="Tahoma" w:hAnsi="Tahoma" w:cs="Tahoma"/>
          <w:sz w:val="24"/>
          <w:szCs w:val="24"/>
        </w:rPr>
        <w:t xml:space="preserve"> </w:t>
      </w:r>
      <w:r w:rsidR="00431410" w:rsidRPr="0041511C">
        <w:rPr>
          <w:rFonts w:ascii="Tahoma" w:hAnsi="Tahoma" w:cs="Tahoma"/>
          <w:sz w:val="24"/>
          <w:szCs w:val="24"/>
        </w:rPr>
        <w:t>delivers audit and assurance, tax, consulting, and risk and financial advisory services tailored for private companies, including family-owned businesses, closely-held (non-family) businesses, and private equity and venture-capital-backed businesses.</w:t>
      </w:r>
      <w:r w:rsidR="00431410" w:rsidRPr="0041511C">
        <w:rPr>
          <w:rFonts w:ascii="Tahoma" w:hAnsi="Tahoma" w:cs="Tahoma"/>
          <w:sz w:val="24"/>
          <w:szCs w:val="24"/>
        </w:rPr>
        <w:t xml:space="preserve"> </w:t>
      </w:r>
    </w:p>
    <w:p w14:paraId="1C9EB780" w14:textId="774A228B" w:rsidR="00431410" w:rsidRPr="0041511C" w:rsidRDefault="00431410" w:rsidP="0059284E">
      <w:pPr>
        <w:pStyle w:val="NoSpacing"/>
        <w:jc w:val="both"/>
        <w:rPr>
          <w:rFonts w:ascii="Tahoma" w:hAnsi="Tahoma" w:cs="Tahoma"/>
          <w:sz w:val="24"/>
          <w:szCs w:val="24"/>
        </w:rPr>
      </w:pPr>
    </w:p>
    <w:p w14:paraId="721C1957" w14:textId="7D555703" w:rsidR="00431410" w:rsidRPr="0041511C" w:rsidRDefault="0059284E" w:rsidP="0059284E">
      <w:pPr>
        <w:pStyle w:val="NoSpacing"/>
        <w:jc w:val="both"/>
        <w:rPr>
          <w:rFonts w:ascii="Tahoma" w:hAnsi="Tahoma" w:cs="Tahoma"/>
          <w:sz w:val="24"/>
          <w:szCs w:val="24"/>
        </w:rPr>
      </w:pPr>
      <w:r w:rsidRPr="0041511C">
        <w:rPr>
          <w:rFonts w:ascii="Tahoma" w:hAnsi="Tahoma" w:cs="Tahoma"/>
          <w:sz w:val="24"/>
          <w:szCs w:val="24"/>
        </w:rPr>
        <w:t xml:space="preserve">We </w:t>
      </w:r>
      <w:r w:rsidR="00431410" w:rsidRPr="0041511C">
        <w:rPr>
          <w:rFonts w:ascii="Tahoma" w:hAnsi="Tahoma" w:cs="Tahoma"/>
          <w:sz w:val="24"/>
          <w:szCs w:val="24"/>
        </w:rPr>
        <w:t xml:space="preserve">recognize the importance of the private company market and its impact on economies worldwide. We created </w:t>
      </w:r>
      <w:r w:rsidRPr="0041511C">
        <w:rPr>
          <w:rFonts w:ascii="Tahoma" w:hAnsi="Tahoma" w:cs="Tahoma"/>
          <w:sz w:val="24"/>
          <w:szCs w:val="24"/>
        </w:rPr>
        <w:t>this solution</w:t>
      </w:r>
      <w:r w:rsidR="00431410" w:rsidRPr="0041511C">
        <w:rPr>
          <w:rFonts w:ascii="Tahoma" w:hAnsi="Tahoma" w:cs="Tahoma"/>
          <w:sz w:val="24"/>
          <w:szCs w:val="24"/>
        </w:rPr>
        <w:t xml:space="preserve"> to clearly demonstrate our commitment to this market segment, establish stronger connectivity </w:t>
      </w:r>
      <w:r w:rsidRPr="0041511C">
        <w:rPr>
          <w:rFonts w:ascii="Tahoma" w:hAnsi="Tahoma" w:cs="Tahoma"/>
          <w:sz w:val="24"/>
          <w:szCs w:val="24"/>
        </w:rPr>
        <w:t>with our client</w:t>
      </w:r>
      <w:r w:rsidR="00431410" w:rsidRPr="0041511C">
        <w:rPr>
          <w:rFonts w:ascii="Tahoma" w:hAnsi="Tahoma" w:cs="Tahoma"/>
          <w:sz w:val="24"/>
          <w:szCs w:val="24"/>
        </w:rPr>
        <w:t>, and better serve private clients wherever they need us.”</w:t>
      </w:r>
    </w:p>
    <w:p w14:paraId="4F2B91D8" w14:textId="5586E109" w:rsidR="00431410" w:rsidRPr="0041511C" w:rsidRDefault="00431410" w:rsidP="0059284E">
      <w:pPr>
        <w:pStyle w:val="NoSpacing"/>
        <w:jc w:val="both"/>
        <w:rPr>
          <w:rFonts w:ascii="Tahoma" w:hAnsi="Tahoma" w:cs="Tahoma"/>
          <w:sz w:val="24"/>
          <w:szCs w:val="24"/>
        </w:rPr>
      </w:pPr>
    </w:p>
    <w:p w14:paraId="77E9ED96" w14:textId="77777777" w:rsidR="00431410" w:rsidRPr="0041511C" w:rsidRDefault="00431410" w:rsidP="0059284E">
      <w:pPr>
        <w:pStyle w:val="NoSpacing"/>
        <w:jc w:val="both"/>
        <w:rPr>
          <w:rFonts w:ascii="Tahoma" w:hAnsi="Tahoma" w:cs="Tahoma"/>
          <w:b/>
          <w:bCs/>
          <w:sz w:val="24"/>
          <w:szCs w:val="24"/>
        </w:rPr>
      </w:pPr>
      <w:r w:rsidRPr="0041511C">
        <w:rPr>
          <w:rFonts w:ascii="Tahoma" w:hAnsi="Tahoma" w:cs="Tahoma"/>
          <w:b/>
          <w:bCs/>
          <w:sz w:val="24"/>
          <w:szCs w:val="24"/>
        </w:rPr>
        <w:t>T</w:t>
      </w:r>
      <w:r w:rsidRPr="0041511C">
        <w:rPr>
          <w:rFonts w:ascii="Tahoma" w:hAnsi="Tahoma" w:cs="Tahoma"/>
          <w:b/>
          <w:bCs/>
          <w:sz w:val="24"/>
          <w:szCs w:val="24"/>
        </w:rPr>
        <w:t>ailored approach</w:t>
      </w:r>
    </w:p>
    <w:p w14:paraId="7A185484" w14:textId="77777777" w:rsidR="00431410" w:rsidRPr="0041511C" w:rsidRDefault="00431410" w:rsidP="0059284E">
      <w:pPr>
        <w:pStyle w:val="NoSpacing"/>
        <w:jc w:val="both"/>
        <w:rPr>
          <w:rFonts w:ascii="Tahoma" w:hAnsi="Tahoma" w:cs="Tahoma"/>
          <w:sz w:val="24"/>
          <w:szCs w:val="24"/>
        </w:rPr>
      </w:pPr>
      <w:r w:rsidRPr="0041511C">
        <w:rPr>
          <w:rFonts w:ascii="Tahoma" w:hAnsi="Tahoma" w:cs="Tahoma"/>
          <w:sz w:val="24"/>
          <w:szCs w:val="24"/>
        </w:rPr>
        <w:t>Our team works to customize our service capabilities to each client’s specific needs, size, and ownership structure. A single lead partner coordinates one team, comprising audit and assurance, tax, consulting, and risk and financial advisory professionals.</w:t>
      </w:r>
    </w:p>
    <w:p w14:paraId="4EFAF80B" w14:textId="77777777" w:rsidR="00431410" w:rsidRPr="0041511C" w:rsidRDefault="00431410" w:rsidP="0059284E">
      <w:pPr>
        <w:pStyle w:val="NoSpacing"/>
        <w:jc w:val="both"/>
        <w:rPr>
          <w:rFonts w:ascii="Tahoma" w:hAnsi="Tahoma" w:cs="Tahoma"/>
          <w:sz w:val="24"/>
          <w:szCs w:val="24"/>
        </w:rPr>
      </w:pPr>
    </w:p>
    <w:p w14:paraId="6CC2C3A4" w14:textId="77777777" w:rsidR="00431410" w:rsidRPr="0041511C" w:rsidRDefault="00431410" w:rsidP="0059284E">
      <w:pPr>
        <w:pStyle w:val="NoSpacing"/>
        <w:jc w:val="both"/>
        <w:rPr>
          <w:rFonts w:ascii="Tahoma" w:hAnsi="Tahoma" w:cs="Tahoma"/>
          <w:b/>
          <w:bCs/>
          <w:sz w:val="24"/>
          <w:szCs w:val="24"/>
        </w:rPr>
      </w:pPr>
      <w:r w:rsidRPr="0041511C">
        <w:rPr>
          <w:rFonts w:ascii="Tahoma" w:hAnsi="Tahoma" w:cs="Tahoma"/>
          <w:b/>
          <w:bCs/>
          <w:sz w:val="24"/>
          <w:szCs w:val="24"/>
        </w:rPr>
        <w:t>Technical abilities</w:t>
      </w:r>
    </w:p>
    <w:p w14:paraId="67245858" w14:textId="0D0AA759" w:rsidR="00431410" w:rsidRPr="0041511C" w:rsidRDefault="00431410" w:rsidP="0059284E">
      <w:pPr>
        <w:pStyle w:val="NoSpacing"/>
        <w:jc w:val="both"/>
        <w:rPr>
          <w:rFonts w:ascii="Tahoma" w:hAnsi="Tahoma" w:cs="Tahoma"/>
          <w:sz w:val="24"/>
          <w:szCs w:val="24"/>
        </w:rPr>
      </w:pPr>
      <w:r w:rsidRPr="0041511C">
        <w:rPr>
          <w:rFonts w:ascii="Tahoma" w:hAnsi="Tahoma" w:cs="Tahoma"/>
          <w:sz w:val="24"/>
          <w:szCs w:val="24"/>
        </w:rPr>
        <w:t>The broad range of technical abilities among our professionals allows us to address complexity and find the right answer, often by simply “walking down the hall”—as opposed to starting from scratch.</w:t>
      </w:r>
    </w:p>
    <w:p w14:paraId="4DF32045" w14:textId="77777777" w:rsidR="00431410" w:rsidRPr="0041511C" w:rsidRDefault="00431410" w:rsidP="0059284E">
      <w:pPr>
        <w:pStyle w:val="NoSpacing"/>
        <w:jc w:val="both"/>
        <w:rPr>
          <w:rFonts w:ascii="Tahoma" w:hAnsi="Tahoma" w:cs="Tahoma"/>
          <w:sz w:val="24"/>
          <w:szCs w:val="24"/>
        </w:rPr>
      </w:pPr>
    </w:p>
    <w:p w14:paraId="121037BE" w14:textId="77777777" w:rsidR="00431410" w:rsidRPr="0041511C" w:rsidRDefault="00431410" w:rsidP="0059284E">
      <w:pPr>
        <w:pStyle w:val="NoSpacing"/>
        <w:jc w:val="both"/>
        <w:rPr>
          <w:rFonts w:ascii="Tahoma" w:hAnsi="Tahoma" w:cs="Tahoma"/>
          <w:b/>
          <w:bCs/>
          <w:sz w:val="24"/>
          <w:szCs w:val="24"/>
        </w:rPr>
      </w:pPr>
      <w:r w:rsidRPr="0041511C">
        <w:rPr>
          <w:rFonts w:ascii="Tahoma" w:hAnsi="Tahoma" w:cs="Tahoma"/>
          <w:b/>
          <w:bCs/>
          <w:sz w:val="24"/>
          <w:szCs w:val="24"/>
        </w:rPr>
        <w:t>Audit and assurance</w:t>
      </w:r>
    </w:p>
    <w:p w14:paraId="44A5BA2C" w14:textId="6F22FF29" w:rsidR="00431410" w:rsidRPr="0041511C" w:rsidRDefault="001D598C" w:rsidP="0059284E">
      <w:pPr>
        <w:pStyle w:val="NoSpacing"/>
        <w:jc w:val="both"/>
        <w:rPr>
          <w:rFonts w:ascii="Tahoma" w:hAnsi="Tahoma" w:cs="Tahoma"/>
          <w:sz w:val="24"/>
          <w:szCs w:val="24"/>
        </w:rPr>
      </w:pPr>
      <w:r w:rsidRPr="0041511C">
        <w:rPr>
          <w:rFonts w:ascii="Tahoma" w:hAnsi="Tahoma" w:cs="Tahoma"/>
          <w:sz w:val="24"/>
          <w:szCs w:val="24"/>
        </w:rPr>
        <w:t>Our</w:t>
      </w:r>
      <w:r w:rsidR="00431410" w:rsidRPr="0041511C">
        <w:rPr>
          <w:rFonts w:ascii="Tahoma" w:hAnsi="Tahoma" w:cs="Tahoma"/>
          <w:sz w:val="24"/>
          <w:szCs w:val="24"/>
        </w:rPr>
        <w:t xml:space="preserve"> approach for private companies transforms the obligation of an audit into opportunity for your business. A</w:t>
      </w:r>
      <w:r w:rsidRPr="0041511C">
        <w:rPr>
          <w:rFonts w:ascii="Tahoma" w:hAnsi="Tahoma" w:cs="Tahoma"/>
          <w:sz w:val="24"/>
          <w:szCs w:val="24"/>
        </w:rPr>
        <w:t>n</w:t>
      </w:r>
      <w:r w:rsidR="00431410" w:rsidRPr="0041511C">
        <w:rPr>
          <w:rFonts w:ascii="Tahoma" w:hAnsi="Tahoma" w:cs="Tahoma"/>
          <w:sz w:val="24"/>
          <w:szCs w:val="24"/>
        </w:rPr>
        <w:t xml:space="preserve"> audit is not a compliance exercise.  It focuses on risks—things that matter—and minimizes work on what is less relevant. A high-quality audit has to be transparent, customized, and integrated—to deliver insights that inform intelligent, real-time decisions. Our Private Company Audit Methodology incorporates workflow automation</w:t>
      </w:r>
      <w:r w:rsidRPr="0041511C">
        <w:rPr>
          <w:rFonts w:ascii="Tahoma" w:hAnsi="Tahoma" w:cs="Tahoma"/>
          <w:sz w:val="24"/>
          <w:szCs w:val="24"/>
        </w:rPr>
        <w:t xml:space="preserve"> </w:t>
      </w:r>
      <w:r w:rsidR="00431410" w:rsidRPr="0041511C">
        <w:rPr>
          <w:rFonts w:ascii="Tahoma" w:hAnsi="Tahoma" w:cs="Tahoma"/>
          <w:sz w:val="24"/>
          <w:szCs w:val="24"/>
        </w:rPr>
        <w:t>and data analytic tools that enable us to offer valuable perspectives as we serve you now and as you grow.</w:t>
      </w:r>
    </w:p>
    <w:p w14:paraId="5D08A994" w14:textId="77777777" w:rsidR="00431410" w:rsidRPr="0041511C" w:rsidRDefault="00431410" w:rsidP="0059284E">
      <w:pPr>
        <w:pStyle w:val="NoSpacing"/>
        <w:jc w:val="both"/>
        <w:rPr>
          <w:rFonts w:ascii="Tahoma" w:hAnsi="Tahoma" w:cs="Tahoma"/>
          <w:sz w:val="24"/>
          <w:szCs w:val="24"/>
        </w:rPr>
      </w:pPr>
    </w:p>
    <w:p w14:paraId="3317355C" w14:textId="77777777" w:rsidR="00431410" w:rsidRPr="0041511C" w:rsidRDefault="00431410" w:rsidP="0059284E">
      <w:pPr>
        <w:pStyle w:val="NoSpacing"/>
        <w:jc w:val="both"/>
        <w:rPr>
          <w:rFonts w:ascii="Tahoma" w:hAnsi="Tahoma" w:cs="Tahoma"/>
          <w:sz w:val="24"/>
          <w:szCs w:val="24"/>
        </w:rPr>
      </w:pPr>
      <w:r w:rsidRPr="0041511C">
        <w:rPr>
          <w:rFonts w:ascii="Tahoma" w:hAnsi="Tahoma" w:cs="Tahoma"/>
          <w:sz w:val="24"/>
          <w:szCs w:val="24"/>
        </w:rPr>
        <w:t>Our audit approach is thorough without being intrusive, and is tailored to the needs of each organization we work with. We build teams that are proficient in private company matters, and can apply experience from working with private and public companies of all sizes. To address your complexity and risk—and to be prepared for changes and challenges you may face in the future—you can benefit from professionals who have this diversity of experience.</w:t>
      </w:r>
    </w:p>
    <w:p w14:paraId="2F8C8FD4" w14:textId="77777777" w:rsidR="00431410" w:rsidRPr="0041511C" w:rsidRDefault="00431410" w:rsidP="0059284E">
      <w:pPr>
        <w:pStyle w:val="NoSpacing"/>
        <w:jc w:val="both"/>
        <w:rPr>
          <w:rFonts w:ascii="Tahoma" w:hAnsi="Tahoma" w:cs="Tahoma"/>
          <w:sz w:val="24"/>
          <w:szCs w:val="24"/>
        </w:rPr>
      </w:pPr>
    </w:p>
    <w:p w14:paraId="3BB51E2B" w14:textId="77777777" w:rsidR="001D598C" w:rsidRPr="0041511C" w:rsidRDefault="00431410" w:rsidP="001D598C">
      <w:pPr>
        <w:pStyle w:val="NoSpacing"/>
        <w:jc w:val="both"/>
        <w:rPr>
          <w:rFonts w:ascii="Tahoma" w:hAnsi="Tahoma" w:cs="Tahoma"/>
          <w:b/>
          <w:bCs/>
          <w:sz w:val="24"/>
          <w:szCs w:val="24"/>
        </w:rPr>
      </w:pPr>
      <w:r w:rsidRPr="0041511C">
        <w:rPr>
          <w:rFonts w:ascii="Tahoma" w:hAnsi="Tahoma" w:cs="Tahoma"/>
          <w:b/>
          <w:bCs/>
          <w:sz w:val="24"/>
          <w:szCs w:val="24"/>
        </w:rPr>
        <w:t>Consulting</w:t>
      </w:r>
      <w:r w:rsidR="001D598C" w:rsidRPr="0041511C">
        <w:rPr>
          <w:rFonts w:ascii="Tahoma" w:hAnsi="Tahoma" w:cs="Tahoma"/>
          <w:b/>
          <w:bCs/>
          <w:sz w:val="24"/>
          <w:szCs w:val="24"/>
        </w:rPr>
        <w:t xml:space="preserve"> - </w:t>
      </w:r>
      <w:r w:rsidR="001D598C" w:rsidRPr="0041511C">
        <w:rPr>
          <w:rFonts w:ascii="Tahoma" w:hAnsi="Tahoma" w:cs="Tahoma"/>
          <w:b/>
          <w:bCs/>
          <w:sz w:val="24"/>
          <w:szCs w:val="24"/>
        </w:rPr>
        <w:t>Serving private companies</w:t>
      </w:r>
    </w:p>
    <w:p w14:paraId="4E84300C" w14:textId="3FFD0F2D" w:rsidR="00431410" w:rsidRPr="0041511C" w:rsidRDefault="00431410" w:rsidP="0059284E">
      <w:pPr>
        <w:pStyle w:val="NoSpacing"/>
        <w:jc w:val="both"/>
        <w:rPr>
          <w:rFonts w:ascii="Tahoma" w:hAnsi="Tahoma" w:cs="Tahoma"/>
          <w:sz w:val="24"/>
          <w:szCs w:val="24"/>
        </w:rPr>
      </w:pPr>
      <w:r w:rsidRPr="0041511C">
        <w:rPr>
          <w:rFonts w:ascii="Tahoma" w:hAnsi="Tahoma" w:cs="Tahoma"/>
          <w:sz w:val="24"/>
          <w:szCs w:val="24"/>
        </w:rPr>
        <w:t>Today</w:t>
      </w:r>
      <w:r w:rsidR="001D598C" w:rsidRPr="0041511C">
        <w:rPr>
          <w:rFonts w:ascii="Tahoma" w:hAnsi="Tahoma" w:cs="Tahoma"/>
          <w:sz w:val="24"/>
          <w:szCs w:val="24"/>
        </w:rPr>
        <w:t>’s</w:t>
      </w:r>
      <w:r w:rsidRPr="0041511C">
        <w:rPr>
          <w:rFonts w:ascii="Tahoma" w:hAnsi="Tahoma" w:cs="Tahoma"/>
          <w:sz w:val="24"/>
          <w:szCs w:val="24"/>
        </w:rPr>
        <w:t xml:space="preserve"> business and technology are inextricably linked, no matter the size of the company. Keeping pace with the emerging technology landscape can be difficult for even the most tech-savvy leaders. </w:t>
      </w:r>
      <w:r w:rsidR="001D598C" w:rsidRPr="0041511C">
        <w:rPr>
          <w:rFonts w:ascii="Tahoma" w:hAnsi="Tahoma" w:cs="Tahoma"/>
          <w:sz w:val="24"/>
          <w:szCs w:val="24"/>
        </w:rPr>
        <w:t>AideOne</w:t>
      </w:r>
      <w:r w:rsidRPr="0041511C">
        <w:rPr>
          <w:rFonts w:ascii="Tahoma" w:hAnsi="Tahoma" w:cs="Tahoma"/>
          <w:sz w:val="24"/>
          <w:szCs w:val="24"/>
        </w:rPr>
        <w:t xml:space="preserve"> Private can help. We have a variety of leadership, culture, and industry-oriented, pre-configured technology solutions designed to help you achieve both your short- and long-term business goals. So</w:t>
      </w:r>
      <w:r w:rsidR="001D598C" w:rsidRPr="0041511C">
        <w:rPr>
          <w:rFonts w:ascii="Tahoma" w:hAnsi="Tahoma" w:cs="Tahoma"/>
          <w:sz w:val="24"/>
          <w:szCs w:val="24"/>
        </w:rPr>
        <w:t>,</w:t>
      </w:r>
      <w:r w:rsidRPr="0041511C">
        <w:rPr>
          <w:rFonts w:ascii="Tahoma" w:hAnsi="Tahoma" w:cs="Tahoma"/>
          <w:sz w:val="24"/>
          <w:szCs w:val="24"/>
        </w:rPr>
        <w:t xml:space="preserve"> the bigger you get, the more we bring.</w:t>
      </w:r>
    </w:p>
    <w:p w14:paraId="2A4168D2" w14:textId="77777777" w:rsidR="00431410" w:rsidRPr="0041511C" w:rsidRDefault="00431410" w:rsidP="0059284E">
      <w:pPr>
        <w:pStyle w:val="NoSpacing"/>
        <w:jc w:val="both"/>
        <w:rPr>
          <w:rFonts w:ascii="Tahoma" w:hAnsi="Tahoma" w:cs="Tahoma"/>
          <w:sz w:val="24"/>
          <w:szCs w:val="24"/>
        </w:rPr>
      </w:pPr>
    </w:p>
    <w:p w14:paraId="48397729" w14:textId="77777777" w:rsidR="001D598C" w:rsidRPr="0041511C" w:rsidRDefault="00431410" w:rsidP="0059284E">
      <w:pPr>
        <w:pStyle w:val="NoSpacing"/>
        <w:jc w:val="both"/>
        <w:rPr>
          <w:rFonts w:ascii="Tahoma" w:hAnsi="Tahoma" w:cs="Tahoma"/>
          <w:sz w:val="24"/>
          <w:szCs w:val="24"/>
        </w:rPr>
      </w:pPr>
      <w:r w:rsidRPr="0041511C">
        <w:rPr>
          <w:rFonts w:ascii="Tahoma" w:hAnsi="Tahoma" w:cs="Tahoma"/>
          <w:sz w:val="24"/>
          <w:szCs w:val="24"/>
        </w:rPr>
        <w:t xml:space="preserve">Our multi-faceted program utilizes live events, signature reports, research publications, webcasts, and other vehicles to deliver tailored and relevant insights to private companies. </w:t>
      </w:r>
    </w:p>
    <w:p w14:paraId="2CC29E39" w14:textId="77777777" w:rsidR="001D598C" w:rsidRPr="0041511C" w:rsidRDefault="001D598C" w:rsidP="0059284E">
      <w:pPr>
        <w:pStyle w:val="NoSpacing"/>
        <w:jc w:val="both"/>
        <w:rPr>
          <w:rFonts w:ascii="Tahoma" w:hAnsi="Tahoma" w:cs="Tahoma"/>
          <w:sz w:val="24"/>
          <w:szCs w:val="24"/>
        </w:rPr>
      </w:pPr>
    </w:p>
    <w:p w14:paraId="13F6CC96" w14:textId="77777777" w:rsidR="001D598C" w:rsidRPr="0041511C" w:rsidRDefault="001D598C" w:rsidP="0059284E">
      <w:pPr>
        <w:pStyle w:val="NoSpacing"/>
        <w:jc w:val="both"/>
        <w:rPr>
          <w:rFonts w:ascii="Tahoma" w:hAnsi="Tahoma" w:cs="Tahoma"/>
          <w:sz w:val="24"/>
          <w:szCs w:val="24"/>
        </w:rPr>
      </w:pPr>
    </w:p>
    <w:p w14:paraId="37452063" w14:textId="7C2F2436" w:rsidR="00431410" w:rsidRPr="0041511C" w:rsidRDefault="00431410" w:rsidP="0059284E">
      <w:pPr>
        <w:pStyle w:val="NoSpacing"/>
        <w:jc w:val="both"/>
        <w:rPr>
          <w:rFonts w:ascii="Tahoma" w:hAnsi="Tahoma" w:cs="Tahoma"/>
          <w:b/>
          <w:bCs/>
          <w:sz w:val="24"/>
          <w:szCs w:val="24"/>
        </w:rPr>
      </w:pPr>
      <w:r w:rsidRPr="0041511C">
        <w:rPr>
          <w:rFonts w:ascii="Tahoma" w:hAnsi="Tahoma" w:cs="Tahoma"/>
          <w:b/>
          <w:bCs/>
          <w:sz w:val="24"/>
          <w:szCs w:val="24"/>
        </w:rPr>
        <w:t>Tax</w:t>
      </w:r>
      <w:r w:rsidRPr="0041511C">
        <w:rPr>
          <w:rFonts w:ascii="Tahoma" w:hAnsi="Tahoma" w:cs="Tahoma"/>
          <w:b/>
          <w:bCs/>
          <w:sz w:val="24"/>
          <w:szCs w:val="24"/>
        </w:rPr>
        <w:t xml:space="preserve"> </w:t>
      </w:r>
    </w:p>
    <w:p w14:paraId="3D194F97" w14:textId="64E3ADF6" w:rsidR="00431410" w:rsidRPr="0041511C" w:rsidRDefault="00431410" w:rsidP="0059284E">
      <w:pPr>
        <w:pStyle w:val="NoSpacing"/>
        <w:jc w:val="both"/>
        <w:rPr>
          <w:rFonts w:ascii="Tahoma" w:hAnsi="Tahoma" w:cs="Tahoma"/>
          <w:sz w:val="24"/>
          <w:szCs w:val="24"/>
        </w:rPr>
      </w:pPr>
      <w:r w:rsidRPr="0041511C">
        <w:rPr>
          <w:rFonts w:ascii="Tahoma" w:hAnsi="Tahoma" w:cs="Tahoma"/>
          <w:sz w:val="24"/>
          <w:szCs w:val="24"/>
        </w:rPr>
        <w:t xml:space="preserve">We see tax as an opportunity. Because everything you do has tax implications—and because taxes are often among the most significant drivers of the cash needs of an organization and its owners—it’s important to have a tax advisor that can turn the complex and technical into actionable business insights. </w:t>
      </w:r>
      <w:r w:rsidR="001D598C" w:rsidRPr="0041511C">
        <w:rPr>
          <w:rFonts w:ascii="Tahoma" w:hAnsi="Tahoma" w:cs="Tahoma"/>
          <w:sz w:val="24"/>
          <w:szCs w:val="24"/>
        </w:rPr>
        <w:t>AideOne</w:t>
      </w:r>
      <w:r w:rsidRPr="0041511C">
        <w:rPr>
          <w:rFonts w:ascii="Tahoma" w:hAnsi="Tahoma" w:cs="Tahoma"/>
          <w:sz w:val="24"/>
          <w:szCs w:val="24"/>
        </w:rPr>
        <w:t xml:space="preserve"> can harness the big ideas needed to expand your business, tap new markets, and turn your unique complexity and risk into competitive advantages.</w:t>
      </w:r>
    </w:p>
    <w:p w14:paraId="52D7A8AA" w14:textId="77777777" w:rsidR="00431410" w:rsidRPr="0041511C" w:rsidRDefault="00431410" w:rsidP="0059284E">
      <w:pPr>
        <w:pStyle w:val="NoSpacing"/>
        <w:jc w:val="both"/>
        <w:rPr>
          <w:rFonts w:ascii="Tahoma" w:hAnsi="Tahoma" w:cs="Tahoma"/>
          <w:sz w:val="24"/>
          <w:szCs w:val="24"/>
        </w:rPr>
      </w:pPr>
    </w:p>
    <w:p w14:paraId="44F034E8" w14:textId="1FD84B8A" w:rsidR="00431410" w:rsidRPr="0041511C" w:rsidRDefault="001D598C" w:rsidP="0059284E">
      <w:pPr>
        <w:pStyle w:val="NoSpacing"/>
        <w:jc w:val="both"/>
        <w:rPr>
          <w:rFonts w:ascii="Tahoma" w:hAnsi="Tahoma" w:cs="Tahoma"/>
          <w:sz w:val="24"/>
          <w:szCs w:val="24"/>
        </w:rPr>
      </w:pPr>
      <w:r w:rsidRPr="0041511C">
        <w:rPr>
          <w:rFonts w:ascii="Tahoma" w:hAnsi="Tahoma" w:cs="Tahoma"/>
          <w:sz w:val="24"/>
          <w:szCs w:val="24"/>
        </w:rPr>
        <w:t>AideOne</w:t>
      </w:r>
      <w:r w:rsidR="00431410" w:rsidRPr="0041511C">
        <w:rPr>
          <w:rFonts w:ascii="Tahoma" w:hAnsi="Tahoma" w:cs="Tahoma"/>
          <w:sz w:val="24"/>
          <w:szCs w:val="24"/>
        </w:rPr>
        <w:t xml:space="preserve"> offers private companies a broad range of fully integrated tax services, including compliance, tax management consulting, controversy, mergers and acquisitions, wealth management, and international tax. We combine insight and innovation from multiple disciplines with business and industry knowledge to help your company excel.</w:t>
      </w:r>
    </w:p>
    <w:p w14:paraId="4F6CF554" w14:textId="77777777" w:rsidR="00431410" w:rsidRPr="0041511C" w:rsidRDefault="00431410" w:rsidP="0059284E">
      <w:pPr>
        <w:pStyle w:val="NoSpacing"/>
        <w:jc w:val="both"/>
        <w:rPr>
          <w:rFonts w:ascii="Tahoma" w:hAnsi="Tahoma" w:cs="Tahoma"/>
          <w:sz w:val="24"/>
          <w:szCs w:val="24"/>
        </w:rPr>
      </w:pPr>
    </w:p>
    <w:p w14:paraId="5614574F" w14:textId="77777777" w:rsidR="00431410" w:rsidRPr="0041511C" w:rsidRDefault="00431410" w:rsidP="0059284E">
      <w:pPr>
        <w:pStyle w:val="NoSpacing"/>
        <w:jc w:val="both"/>
        <w:rPr>
          <w:rFonts w:ascii="Tahoma" w:hAnsi="Tahoma" w:cs="Tahoma"/>
          <w:b/>
          <w:bCs/>
          <w:sz w:val="24"/>
          <w:szCs w:val="24"/>
        </w:rPr>
      </w:pPr>
      <w:r w:rsidRPr="0041511C">
        <w:rPr>
          <w:rFonts w:ascii="Tahoma" w:hAnsi="Tahoma" w:cs="Tahoma"/>
          <w:b/>
          <w:bCs/>
          <w:sz w:val="24"/>
          <w:szCs w:val="24"/>
        </w:rPr>
        <w:t>Risk and financial advisory</w:t>
      </w:r>
    </w:p>
    <w:p w14:paraId="24C24CE3" w14:textId="77777777" w:rsidR="00431410" w:rsidRPr="0041511C" w:rsidRDefault="00431410" w:rsidP="0059284E">
      <w:pPr>
        <w:pStyle w:val="NoSpacing"/>
        <w:jc w:val="both"/>
        <w:rPr>
          <w:rFonts w:ascii="Tahoma" w:hAnsi="Tahoma" w:cs="Tahoma"/>
          <w:sz w:val="24"/>
          <w:szCs w:val="24"/>
        </w:rPr>
      </w:pPr>
      <w:r w:rsidRPr="0041511C">
        <w:rPr>
          <w:rFonts w:ascii="Tahoma" w:hAnsi="Tahoma" w:cs="Tahoma"/>
          <w:sz w:val="24"/>
          <w:szCs w:val="24"/>
        </w:rPr>
        <w:t>Our advisory services help you manage strategic, financial, operational, technological, and regulatory risk to enhance enterprise value, while our experience in mergers and acquisitions, fraud, litigation, and restructuring helps you become stronger and more resilient.</w:t>
      </w:r>
    </w:p>
    <w:p w14:paraId="6FFF7390" w14:textId="77777777" w:rsidR="00431410" w:rsidRPr="0041511C" w:rsidRDefault="00431410" w:rsidP="0059284E">
      <w:pPr>
        <w:pStyle w:val="NoSpacing"/>
        <w:jc w:val="both"/>
        <w:rPr>
          <w:rFonts w:ascii="Tahoma" w:hAnsi="Tahoma" w:cs="Tahoma"/>
          <w:sz w:val="24"/>
          <w:szCs w:val="24"/>
        </w:rPr>
      </w:pPr>
    </w:p>
    <w:p w14:paraId="066A068D" w14:textId="77777777" w:rsidR="001D598C" w:rsidRPr="0041511C" w:rsidRDefault="00431410" w:rsidP="0059284E">
      <w:pPr>
        <w:pStyle w:val="NoSpacing"/>
        <w:jc w:val="both"/>
        <w:rPr>
          <w:rFonts w:ascii="Tahoma" w:hAnsi="Tahoma" w:cs="Tahoma"/>
          <w:sz w:val="24"/>
          <w:szCs w:val="24"/>
        </w:rPr>
      </w:pPr>
      <w:r w:rsidRPr="0041511C">
        <w:rPr>
          <w:rFonts w:ascii="Tahoma" w:hAnsi="Tahoma" w:cs="Tahoma"/>
          <w:sz w:val="24"/>
          <w:szCs w:val="24"/>
        </w:rPr>
        <w:t>Whether your company is launching a new product, embarking on a transaction, integrating new technology, or facing industry disruption, risk is</w:t>
      </w:r>
      <w:r w:rsidR="001D598C" w:rsidRPr="0041511C">
        <w:rPr>
          <w:rFonts w:ascii="Tahoma" w:hAnsi="Tahoma" w:cs="Tahoma"/>
          <w:sz w:val="24"/>
          <w:szCs w:val="24"/>
        </w:rPr>
        <w:t xml:space="preserve"> </w:t>
      </w:r>
      <w:r w:rsidRPr="0041511C">
        <w:rPr>
          <w:rFonts w:ascii="Tahoma" w:hAnsi="Tahoma" w:cs="Tahoma"/>
          <w:sz w:val="24"/>
          <w:szCs w:val="24"/>
        </w:rPr>
        <w:t xml:space="preserve">ever-present. </w:t>
      </w:r>
    </w:p>
    <w:p w14:paraId="4651364B" w14:textId="77777777" w:rsidR="001D598C" w:rsidRPr="0041511C" w:rsidRDefault="001D598C" w:rsidP="0059284E">
      <w:pPr>
        <w:pStyle w:val="NoSpacing"/>
        <w:jc w:val="both"/>
        <w:rPr>
          <w:rFonts w:ascii="Tahoma" w:hAnsi="Tahoma" w:cs="Tahoma"/>
          <w:sz w:val="24"/>
          <w:szCs w:val="24"/>
        </w:rPr>
      </w:pPr>
    </w:p>
    <w:p w14:paraId="4BCFC7C1" w14:textId="5DA07F28" w:rsidR="00431410" w:rsidRPr="0041511C" w:rsidRDefault="00431410" w:rsidP="0059284E">
      <w:pPr>
        <w:pStyle w:val="NoSpacing"/>
        <w:jc w:val="both"/>
        <w:rPr>
          <w:rFonts w:ascii="Tahoma" w:hAnsi="Tahoma" w:cs="Tahoma"/>
          <w:sz w:val="24"/>
          <w:szCs w:val="24"/>
        </w:rPr>
      </w:pPr>
      <w:r w:rsidRPr="0041511C">
        <w:rPr>
          <w:rFonts w:ascii="Tahoma" w:hAnsi="Tahoma" w:cs="Tahoma"/>
          <w:sz w:val="24"/>
          <w:szCs w:val="24"/>
        </w:rPr>
        <w:t>The upside? Risk presents companies with an opportunity not only to protect value, but also to implement value-creating strategies.</w:t>
      </w:r>
    </w:p>
    <w:p w14:paraId="713B07E1" w14:textId="00AA4797" w:rsidR="0046256C" w:rsidRPr="0041511C" w:rsidRDefault="0046256C" w:rsidP="0059284E">
      <w:pPr>
        <w:pStyle w:val="NoSpacing"/>
        <w:jc w:val="both"/>
        <w:rPr>
          <w:rFonts w:ascii="Tahoma" w:hAnsi="Tahoma" w:cs="Tahoma"/>
          <w:sz w:val="24"/>
          <w:szCs w:val="24"/>
        </w:rPr>
      </w:pPr>
    </w:p>
    <w:p w14:paraId="1F892148" w14:textId="6ACE8E30" w:rsidR="0046256C" w:rsidRPr="0041511C" w:rsidRDefault="0046256C" w:rsidP="0059284E">
      <w:pPr>
        <w:pStyle w:val="NoSpacing"/>
        <w:jc w:val="both"/>
        <w:rPr>
          <w:rFonts w:ascii="Tahoma" w:hAnsi="Tahoma" w:cs="Tahoma"/>
          <w:sz w:val="24"/>
          <w:szCs w:val="24"/>
        </w:rPr>
      </w:pPr>
    </w:p>
    <w:p w14:paraId="1131B446" w14:textId="3ADDA1CB" w:rsidR="0046256C" w:rsidRPr="0041511C" w:rsidRDefault="0046256C" w:rsidP="0059284E">
      <w:pPr>
        <w:pStyle w:val="NoSpacing"/>
        <w:jc w:val="both"/>
        <w:rPr>
          <w:rFonts w:ascii="Tahoma" w:hAnsi="Tahoma" w:cs="Tahoma"/>
          <w:sz w:val="24"/>
          <w:szCs w:val="24"/>
        </w:rPr>
      </w:pPr>
    </w:p>
    <w:p w14:paraId="6394C3B5" w14:textId="5D24E439" w:rsidR="0046256C" w:rsidRPr="0041511C" w:rsidRDefault="0046256C" w:rsidP="0059284E">
      <w:pPr>
        <w:pStyle w:val="NoSpacing"/>
        <w:jc w:val="both"/>
        <w:rPr>
          <w:rFonts w:ascii="Tahoma" w:hAnsi="Tahoma" w:cs="Tahoma"/>
          <w:sz w:val="24"/>
          <w:szCs w:val="24"/>
        </w:rPr>
      </w:pPr>
    </w:p>
    <w:p w14:paraId="6B544701" w14:textId="1B34EB93" w:rsidR="0046256C" w:rsidRPr="0041511C" w:rsidRDefault="0046256C" w:rsidP="0059284E">
      <w:pPr>
        <w:pStyle w:val="NoSpacing"/>
        <w:jc w:val="both"/>
        <w:rPr>
          <w:rFonts w:ascii="Tahoma" w:hAnsi="Tahoma" w:cs="Tahoma"/>
          <w:sz w:val="24"/>
          <w:szCs w:val="24"/>
        </w:rPr>
      </w:pPr>
    </w:p>
    <w:p w14:paraId="583E23C4" w14:textId="62EF0D56" w:rsidR="0046256C" w:rsidRPr="0041511C" w:rsidRDefault="0046256C" w:rsidP="0059284E">
      <w:pPr>
        <w:pStyle w:val="NoSpacing"/>
        <w:jc w:val="both"/>
        <w:rPr>
          <w:rFonts w:ascii="Tahoma" w:hAnsi="Tahoma" w:cs="Tahoma"/>
          <w:sz w:val="24"/>
          <w:szCs w:val="24"/>
        </w:rPr>
      </w:pPr>
    </w:p>
    <w:p w14:paraId="07DF951B" w14:textId="2767DFC3" w:rsidR="0046256C" w:rsidRPr="0041511C" w:rsidRDefault="0046256C" w:rsidP="0059284E">
      <w:pPr>
        <w:pStyle w:val="NoSpacing"/>
        <w:jc w:val="both"/>
        <w:rPr>
          <w:rFonts w:ascii="Tahoma" w:hAnsi="Tahoma" w:cs="Tahoma"/>
          <w:sz w:val="24"/>
          <w:szCs w:val="24"/>
        </w:rPr>
      </w:pPr>
    </w:p>
    <w:p w14:paraId="57000318" w14:textId="3683A5F5" w:rsidR="0046256C" w:rsidRPr="0041511C" w:rsidRDefault="0046256C" w:rsidP="0059284E">
      <w:pPr>
        <w:pStyle w:val="NoSpacing"/>
        <w:jc w:val="both"/>
        <w:rPr>
          <w:rFonts w:ascii="Tahoma" w:hAnsi="Tahoma" w:cs="Tahoma"/>
          <w:sz w:val="24"/>
          <w:szCs w:val="24"/>
        </w:rPr>
      </w:pPr>
    </w:p>
    <w:p w14:paraId="7382739B" w14:textId="6E99E5B6" w:rsidR="0046256C" w:rsidRPr="0041511C" w:rsidRDefault="0046256C" w:rsidP="0059284E">
      <w:pPr>
        <w:pStyle w:val="NoSpacing"/>
        <w:jc w:val="both"/>
        <w:rPr>
          <w:rFonts w:ascii="Tahoma" w:hAnsi="Tahoma" w:cs="Tahoma"/>
          <w:sz w:val="24"/>
          <w:szCs w:val="24"/>
        </w:rPr>
      </w:pPr>
    </w:p>
    <w:p w14:paraId="210E603E" w14:textId="3F8EFE5E" w:rsidR="0046256C" w:rsidRPr="0041511C" w:rsidRDefault="0046256C" w:rsidP="0059284E">
      <w:pPr>
        <w:pStyle w:val="NoSpacing"/>
        <w:jc w:val="both"/>
        <w:rPr>
          <w:rFonts w:ascii="Tahoma" w:hAnsi="Tahoma" w:cs="Tahoma"/>
          <w:sz w:val="24"/>
          <w:szCs w:val="24"/>
        </w:rPr>
      </w:pPr>
    </w:p>
    <w:p w14:paraId="6BC13FCD" w14:textId="6FB98BA3" w:rsidR="0046256C" w:rsidRPr="0041511C" w:rsidRDefault="0046256C" w:rsidP="0059284E">
      <w:pPr>
        <w:pStyle w:val="NoSpacing"/>
        <w:jc w:val="both"/>
        <w:rPr>
          <w:rFonts w:ascii="Tahoma" w:hAnsi="Tahoma" w:cs="Tahoma"/>
          <w:sz w:val="24"/>
          <w:szCs w:val="24"/>
        </w:rPr>
      </w:pPr>
    </w:p>
    <w:p w14:paraId="3C2EE945" w14:textId="6EB7DC0C" w:rsidR="0046256C" w:rsidRPr="0041511C" w:rsidRDefault="0046256C" w:rsidP="0059284E">
      <w:pPr>
        <w:pStyle w:val="NoSpacing"/>
        <w:jc w:val="both"/>
        <w:rPr>
          <w:rFonts w:ascii="Tahoma" w:hAnsi="Tahoma" w:cs="Tahoma"/>
          <w:sz w:val="24"/>
          <w:szCs w:val="24"/>
        </w:rPr>
      </w:pPr>
    </w:p>
    <w:p w14:paraId="1E81AC5A" w14:textId="6FBDB310" w:rsidR="0046256C" w:rsidRPr="0041511C" w:rsidRDefault="0046256C" w:rsidP="0059284E">
      <w:pPr>
        <w:pStyle w:val="NoSpacing"/>
        <w:jc w:val="both"/>
        <w:rPr>
          <w:rFonts w:ascii="Tahoma" w:hAnsi="Tahoma" w:cs="Tahoma"/>
          <w:sz w:val="24"/>
          <w:szCs w:val="24"/>
        </w:rPr>
      </w:pPr>
    </w:p>
    <w:p w14:paraId="5B8B59C2" w14:textId="0BFF4584" w:rsidR="0046256C" w:rsidRPr="0041511C" w:rsidRDefault="0046256C" w:rsidP="0059284E">
      <w:pPr>
        <w:pStyle w:val="NoSpacing"/>
        <w:jc w:val="both"/>
        <w:rPr>
          <w:rFonts w:ascii="Tahoma" w:hAnsi="Tahoma" w:cs="Tahoma"/>
          <w:sz w:val="24"/>
          <w:szCs w:val="24"/>
        </w:rPr>
      </w:pPr>
    </w:p>
    <w:p w14:paraId="5B1A8ADB" w14:textId="244DCC5A" w:rsidR="0046256C" w:rsidRPr="0041511C" w:rsidRDefault="0046256C" w:rsidP="0059284E">
      <w:pPr>
        <w:pStyle w:val="NoSpacing"/>
        <w:jc w:val="both"/>
        <w:rPr>
          <w:rFonts w:ascii="Tahoma" w:hAnsi="Tahoma" w:cs="Tahoma"/>
          <w:sz w:val="24"/>
          <w:szCs w:val="24"/>
        </w:rPr>
      </w:pPr>
    </w:p>
    <w:p w14:paraId="57A55589" w14:textId="7CCF557D" w:rsidR="0046256C" w:rsidRPr="0041511C" w:rsidRDefault="0046256C" w:rsidP="0059284E">
      <w:pPr>
        <w:pStyle w:val="NoSpacing"/>
        <w:jc w:val="both"/>
        <w:rPr>
          <w:rFonts w:ascii="Tahoma" w:hAnsi="Tahoma" w:cs="Tahoma"/>
          <w:sz w:val="24"/>
          <w:szCs w:val="24"/>
        </w:rPr>
      </w:pPr>
    </w:p>
    <w:p w14:paraId="390F8BC1" w14:textId="247141F5" w:rsidR="0046256C" w:rsidRPr="0041511C" w:rsidRDefault="0046256C" w:rsidP="0059284E">
      <w:pPr>
        <w:pStyle w:val="NoSpacing"/>
        <w:jc w:val="both"/>
        <w:rPr>
          <w:rFonts w:ascii="Tahoma" w:hAnsi="Tahoma" w:cs="Tahoma"/>
          <w:sz w:val="24"/>
          <w:szCs w:val="24"/>
        </w:rPr>
      </w:pPr>
    </w:p>
    <w:p w14:paraId="27FC1B7D" w14:textId="0DB748D4" w:rsidR="0046256C" w:rsidRPr="0041511C" w:rsidRDefault="0046256C" w:rsidP="0059284E">
      <w:pPr>
        <w:pStyle w:val="NoSpacing"/>
        <w:jc w:val="both"/>
        <w:rPr>
          <w:rFonts w:ascii="Tahoma" w:hAnsi="Tahoma" w:cs="Tahoma"/>
          <w:sz w:val="24"/>
          <w:szCs w:val="24"/>
        </w:rPr>
      </w:pPr>
    </w:p>
    <w:p w14:paraId="4B71AC41" w14:textId="62EA1F24" w:rsidR="0046256C" w:rsidRPr="0041511C" w:rsidRDefault="0046256C" w:rsidP="0059284E">
      <w:pPr>
        <w:pStyle w:val="NoSpacing"/>
        <w:jc w:val="both"/>
        <w:rPr>
          <w:rFonts w:ascii="Tahoma" w:hAnsi="Tahoma" w:cs="Tahoma"/>
          <w:sz w:val="24"/>
          <w:szCs w:val="24"/>
        </w:rPr>
      </w:pPr>
    </w:p>
    <w:p w14:paraId="4AB986A3" w14:textId="4A6EFDE5" w:rsidR="0046256C" w:rsidRPr="0041511C" w:rsidRDefault="0046256C" w:rsidP="0059284E">
      <w:pPr>
        <w:pStyle w:val="NoSpacing"/>
        <w:jc w:val="both"/>
        <w:rPr>
          <w:rFonts w:ascii="Tahoma" w:hAnsi="Tahoma" w:cs="Tahoma"/>
          <w:sz w:val="24"/>
          <w:szCs w:val="24"/>
        </w:rPr>
      </w:pPr>
    </w:p>
    <w:p w14:paraId="1F0F1C80" w14:textId="21C519F7" w:rsidR="0046256C" w:rsidRPr="0041511C" w:rsidRDefault="0046256C" w:rsidP="0059284E">
      <w:pPr>
        <w:pStyle w:val="NoSpacing"/>
        <w:jc w:val="both"/>
        <w:rPr>
          <w:rFonts w:ascii="Tahoma" w:hAnsi="Tahoma" w:cs="Tahoma"/>
          <w:sz w:val="24"/>
          <w:szCs w:val="24"/>
        </w:rPr>
      </w:pPr>
    </w:p>
    <w:p w14:paraId="2181ECCD" w14:textId="106646AC" w:rsidR="0046256C" w:rsidRPr="0041511C" w:rsidRDefault="0046256C" w:rsidP="0059284E">
      <w:pPr>
        <w:pStyle w:val="NoSpacing"/>
        <w:jc w:val="both"/>
        <w:rPr>
          <w:rFonts w:ascii="Tahoma" w:hAnsi="Tahoma" w:cs="Tahoma"/>
          <w:sz w:val="24"/>
          <w:szCs w:val="24"/>
        </w:rPr>
      </w:pPr>
    </w:p>
    <w:p w14:paraId="42D4AAB7" w14:textId="77777777" w:rsidR="0085640C" w:rsidRPr="0041511C" w:rsidRDefault="0085640C" w:rsidP="0085640C">
      <w:pPr>
        <w:pStyle w:val="Heading3"/>
        <w:shd w:val="clear" w:color="auto" w:fill="FFFFFF"/>
        <w:rPr>
          <w:rFonts w:ascii="Tahoma" w:hAnsi="Tahoma" w:cs="Tahoma"/>
          <w:color w:val="AB0E1E"/>
        </w:rPr>
      </w:pPr>
      <w:r w:rsidRPr="0041511C">
        <w:rPr>
          <w:rFonts w:ascii="Tahoma" w:hAnsi="Tahoma" w:cs="Tahoma"/>
          <w:color w:val="AB0E1E"/>
        </w:rPr>
        <w:t>Family Office Services</w:t>
      </w:r>
    </w:p>
    <w:p w14:paraId="73A60F36" w14:textId="77777777" w:rsidR="0085640C" w:rsidRPr="0041511C" w:rsidRDefault="0085640C" w:rsidP="0085640C">
      <w:pPr>
        <w:pStyle w:val="NormalWeb"/>
        <w:shd w:val="clear" w:color="auto" w:fill="FFFFFF"/>
        <w:rPr>
          <w:rFonts w:ascii="Tahoma" w:hAnsi="Tahoma" w:cs="Tahoma"/>
          <w:color w:val="243444"/>
        </w:rPr>
      </w:pPr>
      <w:r w:rsidRPr="0041511C">
        <w:rPr>
          <w:rFonts w:ascii="Tahoma" w:hAnsi="Tahoma" w:cs="Tahoma"/>
          <w:color w:val="243444"/>
        </w:rPr>
        <w:t xml:space="preserve">Many clients view us as an integral part of their family office. We are the trusted advisor to many of the most affluent families in the United States and our clients benefit from the breadth and depth of knowledge that comes from that experience. We offer a broad spectrum of services designed to serve the particular needs of wealthy families and their future generations. Andersen provides private, outsourced accounting services, tax and financial advice, and technical support to </w:t>
      </w:r>
      <w:proofErr w:type="spellStart"/>
      <w:r w:rsidRPr="0041511C">
        <w:rPr>
          <w:rFonts w:ascii="Tahoma" w:hAnsi="Tahoma" w:cs="Tahoma"/>
          <w:color w:val="243444"/>
        </w:rPr>
        <w:t>ultra high</w:t>
      </w:r>
      <w:proofErr w:type="spellEnd"/>
      <w:r w:rsidRPr="0041511C">
        <w:rPr>
          <w:rFonts w:ascii="Tahoma" w:hAnsi="Tahoma" w:cs="Tahoma"/>
          <w:color w:val="243444"/>
        </w:rPr>
        <w:t xml:space="preserve"> net worth individuals and family offices of all forms and sizes.</w:t>
      </w:r>
    </w:p>
    <w:p w14:paraId="51E4A8F6" w14:textId="5173CBB3" w:rsidR="0046256C" w:rsidRPr="0046256C" w:rsidRDefault="0046256C" w:rsidP="0046256C">
      <w:pPr>
        <w:shd w:val="clear" w:color="auto" w:fill="FFFFFF"/>
        <w:spacing w:before="100" w:beforeAutospacing="1" w:after="100" w:afterAutospacing="1" w:line="240" w:lineRule="auto"/>
        <w:outlineLvl w:val="2"/>
        <w:rPr>
          <w:rFonts w:ascii="Tahoma" w:eastAsia="Times New Roman" w:hAnsi="Tahoma" w:cs="Tahoma"/>
          <w:b/>
          <w:bCs/>
          <w:color w:val="AB0E1E"/>
          <w:sz w:val="27"/>
          <w:szCs w:val="27"/>
        </w:rPr>
      </w:pPr>
      <w:r w:rsidRPr="0046256C">
        <w:rPr>
          <w:rFonts w:ascii="Tahoma" w:eastAsia="Times New Roman" w:hAnsi="Tahoma" w:cs="Tahoma"/>
          <w:b/>
          <w:bCs/>
          <w:color w:val="AB0E1E"/>
          <w:sz w:val="27"/>
          <w:szCs w:val="27"/>
        </w:rPr>
        <w:t>Establishing Your Family Office</w:t>
      </w:r>
    </w:p>
    <w:p w14:paraId="4C32C460" w14:textId="77777777" w:rsidR="0046256C" w:rsidRPr="0046256C" w:rsidRDefault="0046256C" w:rsidP="0046256C">
      <w:p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We help individuals and families with the process of forming a family office through activities such as:</w:t>
      </w:r>
    </w:p>
    <w:p w14:paraId="52A47D00"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Defining the overall organizational structure and resource needs of the family office</w:t>
      </w:r>
    </w:p>
    <w:p w14:paraId="0B5C58F2"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Assessing financial system needs, setting up general ledgers and subsidiary accounting ledgers, and assisting with selection and implementation of appropriate technology</w:t>
      </w:r>
    </w:p>
    <w:p w14:paraId="70CCFDA0"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Establishing and implementing policies, procedures and internal controls</w:t>
      </w:r>
    </w:p>
    <w:p w14:paraId="032AC86F"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Facilitating development of budgets and forecasts</w:t>
      </w:r>
    </w:p>
    <w:p w14:paraId="1B57ED9E"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Developing financial and management reporting packages</w:t>
      </w:r>
    </w:p>
    <w:p w14:paraId="17438F16"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Designing and implementing cash/banking structure, opening accounts, ordering checks, etc.</w:t>
      </w:r>
    </w:p>
    <w:p w14:paraId="15D4EA74"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Facilitating information flow with service providers (e.g., payroll companies, banks)</w:t>
      </w:r>
    </w:p>
    <w:p w14:paraId="2433251B" w14:textId="77777777" w:rsidR="0046256C" w:rsidRPr="0046256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Establishing filing systems</w:t>
      </w:r>
    </w:p>
    <w:p w14:paraId="592342CA" w14:textId="21F59EBD" w:rsidR="0046256C" w:rsidRPr="0041511C" w:rsidRDefault="0046256C" w:rsidP="0046256C">
      <w:pPr>
        <w:numPr>
          <w:ilvl w:val="0"/>
          <w:numId w:val="5"/>
        </w:numPr>
        <w:shd w:val="clear" w:color="auto" w:fill="FFFFFF"/>
        <w:spacing w:before="100" w:beforeAutospacing="1" w:after="100" w:afterAutospacing="1" w:line="240" w:lineRule="auto"/>
        <w:rPr>
          <w:rFonts w:ascii="Tahoma" w:eastAsia="Times New Roman" w:hAnsi="Tahoma" w:cs="Tahoma"/>
          <w:color w:val="243444"/>
          <w:sz w:val="24"/>
          <w:szCs w:val="24"/>
        </w:rPr>
      </w:pPr>
      <w:r w:rsidRPr="0046256C">
        <w:rPr>
          <w:rFonts w:ascii="Tahoma" w:eastAsia="Times New Roman" w:hAnsi="Tahoma" w:cs="Tahoma"/>
          <w:color w:val="243444"/>
          <w:sz w:val="24"/>
          <w:szCs w:val="24"/>
        </w:rPr>
        <w:t>Structuring for income tax efficiency</w:t>
      </w:r>
    </w:p>
    <w:p w14:paraId="66D782C3" w14:textId="6B21A4B4" w:rsidR="00274F58" w:rsidRPr="0041511C" w:rsidRDefault="00274F58" w:rsidP="00274F58">
      <w:pPr>
        <w:shd w:val="clear" w:color="auto" w:fill="FFFFFF"/>
        <w:spacing w:before="100" w:beforeAutospacing="1" w:after="100" w:afterAutospacing="1" w:line="240" w:lineRule="auto"/>
        <w:rPr>
          <w:rFonts w:ascii="Tahoma" w:hAnsi="Tahoma" w:cs="Tahoma"/>
          <w:color w:val="243444"/>
          <w:sz w:val="23"/>
          <w:szCs w:val="23"/>
          <w:shd w:val="clear" w:color="auto" w:fill="FFFFFF"/>
        </w:rPr>
      </w:pPr>
      <w:r w:rsidRPr="0041511C">
        <w:rPr>
          <w:rFonts w:ascii="Tahoma" w:hAnsi="Tahoma" w:cs="Tahoma"/>
          <w:color w:val="243444"/>
          <w:sz w:val="23"/>
          <w:szCs w:val="23"/>
          <w:shd w:val="clear" w:color="auto" w:fill="FFFFFF"/>
        </w:rPr>
        <w:t>During the family office start-up period, we also provide staff to help with day-to-day accounting functions such as bill paying, general ledger accounting and financial reporting. Once the office is ready, we ensure a smooth transition of these functions to internal staff.</w:t>
      </w:r>
    </w:p>
    <w:p w14:paraId="377BC5FF" w14:textId="77777777" w:rsidR="00FB4E91" w:rsidRDefault="00FB4E91" w:rsidP="00433E26">
      <w:pPr>
        <w:pStyle w:val="Heading3"/>
        <w:shd w:val="clear" w:color="auto" w:fill="FFFFFF"/>
        <w:rPr>
          <w:rFonts w:ascii="Tahoma" w:hAnsi="Tahoma" w:cs="Tahoma"/>
          <w:color w:val="AB0E1E"/>
        </w:rPr>
      </w:pPr>
    </w:p>
    <w:p w14:paraId="3D23B281" w14:textId="470C21DC" w:rsidR="00433E26" w:rsidRPr="0041511C" w:rsidRDefault="00433E26" w:rsidP="00433E26">
      <w:pPr>
        <w:pStyle w:val="Heading3"/>
        <w:shd w:val="clear" w:color="auto" w:fill="FFFFFF"/>
        <w:rPr>
          <w:rFonts w:ascii="Tahoma" w:hAnsi="Tahoma" w:cs="Tahoma"/>
          <w:color w:val="AB0E1E"/>
        </w:rPr>
      </w:pPr>
      <w:r w:rsidRPr="0041511C">
        <w:rPr>
          <w:rFonts w:ascii="Tahoma" w:hAnsi="Tahoma" w:cs="Tahoma"/>
          <w:color w:val="AB0E1E"/>
        </w:rPr>
        <w:lastRenderedPageBreak/>
        <w:t>Comprehensive Tax &amp; Financial Advisory</w:t>
      </w:r>
    </w:p>
    <w:p w14:paraId="1D83C7EC" w14:textId="77777777" w:rsidR="00433E26" w:rsidRPr="0041511C" w:rsidRDefault="00433E26" w:rsidP="00433E26">
      <w:pPr>
        <w:pStyle w:val="NormalWeb"/>
        <w:shd w:val="clear" w:color="auto" w:fill="FFFFFF"/>
        <w:rPr>
          <w:rFonts w:ascii="Tahoma" w:hAnsi="Tahoma" w:cs="Tahoma"/>
          <w:color w:val="243444"/>
        </w:rPr>
      </w:pPr>
      <w:r w:rsidRPr="0041511C">
        <w:rPr>
          <w:rFonts w:ascii="Tahoma" w:hAnsi="Tahoma" w:cs="Tahoma"/>
          <w:color w:val="243444"/>
        </w:rPr>
        <w:t xml:space="preserve">When clients choose Andersen for comprehensive tax and financial advice, they are choosing peace of mind. That peace of mind comes from knowing they are getting independent, objective advice and a comprehensive solution that addresses their tax and financial advisory needs with a sophisticated, integrated approach. The service you receive as a client of Andersen goes beyond tax advisory. We look at the full spectrum of factors affecting your unique wealth to identify the most appropriate solution—a solution you can trust because you know the only </w:t>
      </w:r>
      <w:proofErr w:type="gramStart"/>
      <w:r w:rsidRPr="0041511C">
        <w:rPr>
          <w:rFonts w:ascii="Tahoma" w:hAnsi="Tahoma" w:cs="Tahoma"/>
          <w:color w:val="243444"/>
        </w:rPr>
        <w:t>thing</w:t>
      </w:r>
      <w:proofErr w:type="gramEnd"/>
      <w:r w:rsidRPr="0041511C">
        <w:rPr>
          <w:rFonts w:ascii="Tahoma" w:hAnsi="Tahoma" w:cs="Tahoma"/>
          <w:color w:val="243444"/>
        </w:rPr>
        <w:t xml:space="preserve"> we gain is your satisfaction and ongoing loyalty.</w:t>
      </w:r>
    </w:p>
    <w:p w14:paraId="7FC2F972" w14:textId="77777777" w:rsidR="00433E26" w:rsidRPr="0041511C" w:rsidRDefault="00433E26" w:rsidP="00433E26">
      <w:pPr>
        <w:pStyle w:val="Heading3"/>
        <w:shd w:val="clear" w:color="auto" w:fill="FFFFFF"/>
        <w:rPr>
          <w:rFonts w:ascii="Tahoma" w:hAnsi="Tahoma" w:cs="Tahoma"/>
          <w:color w:val="AB0E1E"/>
        </w:rPr>
      </w:pPr>
      <w:r w:rsidRPr="0041511C">
        <w:rPr>
          <w:rFonts w:ascii="Tahoma" w:hAnsi="Tahoma" w:cs="Tahoma"/>
          <w:color w:val="AB0E1E"/>
        </w:rPr>
        <w:t>Income Tax</w:t>
      </w:r>
    </w:p>
    <w:p w14:paraId="75E8788E" w14:textId="77777777" w:rsidR="00433E26" w:rsidRPr="0041511C" w:rsidRDefault="00433E26" w:rsidP="00433E26">
      <w:pPr>
        <w:pStyle w:val="NormalWeb"/>
        <w:shd w:val="clear" w:color="auto" w:fill="FFFFFF"/>
        <w:rPr>
          <w:rFonts w:ascii="Tahoma" w:hAnsi="Tahoma" w:cs="Tahoma"/>
          <w:color w:val="243444"/>
        </w:rPr>
      </w:pPr>
      <w:r w:rsidRPr="0041511C">
        <w:rPr>
          <w:rFonts w:ascii="Tahoma" w:hAnsi="Tahoma" w:cs="Tahoma"/>
          <w:color w:val="243444"/>
        </w:rPr>
        <w:t>We combine our comprehensive knowledge of tax with personal knowledge of our clients’ unique circumstances to find opportunities to preserve our clients’ capital. Tax laws and legislation are constantly changing. We continually monitor and consider the impact of these changes on your wealth. Our clients rely on us not only to be current, but also to be progressive in the ways we approach the planning and preservation of their wealth. Taking into consideration your goals, we will develop and implement the strategies you need to ensure the success of your long-term plans.</w:t>
      </w:r>
    </w:p>
    <w:p w14:paraId="62DB5D56" w14:textId="77777777" w:rsidR="005809CF" w:rsidRPr="0041511C" w:rsidRDefault="005809CF" w:rsidP="005809CF">
      <w:pPr>
        <w:pStyle w:val="Heading3"/>
        <w:shd w:val="clear" w:color="auto" w:fill="FFFFFF"/>
        <w:rPr>
          <w:rFonts w:ascii="Tahoma" w:hAnsi="Tahoma" w:cs="Tahoma"/>
          <w:color w:val="AB0E1E"/>
        </w:rPr>
      </w:pPr>
      <w:r w:rsidRPr="0041511C">
        <w:rPr>
          <w:rFonts w:ascii="Tahoma" w:hAnsi="Tahoma" w:cs="Tahoma"/>
          <w:color w:val="AB0E1E"/>
        </w:rPr>
        <w:t>Integrated Personal Income Tax Planning &amp; Compliance</w:t>
      </w:r>
    </w:p>
    <w:p w14:paraId="1498882F" w14:textId="77777777" w:rsidR="005809CF" w:rsidRPr="0041511C" w:rsidRDefault="005809CF" w:rsidP="005809CF">
      <w:pPr>
        <w:pStyle w:val="NormalWeb"/>
        <w:shd w:val="clear" w:color="auto" w:fill="FFFFFF"/>
        <w:rPr>
          <w:rFonts w:ascii="Tahoma" w:hAnsi="Tahoma" w:cs="Tahoma"/>
          <w:color w:val="243444"/>
        </w:rPr>
      </w:pPr>
      <w:r w:rsidRPr="0041511C">
        <w:rPr>
          <w:rFonts w:ascii="Tahoma" w:hAnsi="Tahoma" w:cs="Tahoma"/>
          <w:color w:val="243444"/>
        </w:rPr>
        <w:t>Tax planning for significant wealth requires a high level of technical expertise and an in-depth knowledge of each client. We take an integrated approach to tax planning and consider not just your personal income tax situation, but the impact of all your business, investment and charitable interests so that your tax services are coordinated with an awareness of your total tax and financial posture.</w:t>
      </w:r>
    </w:p>
    <w:p w14:paraId="3AAD21AE" w14:textId="77777777" w:rsidR="005809CF" w:rsidRPr="0041511C" w:rsidRDefault="005809CF" w:rsidP="005809CF">
      <w:pPr>
        <w:pStyle w:val="NormalWeb"/>
        <w:shd w:val="clear" w:color="auto" w:fill="FFFFFF"/>
        <w:rPr>
          <w:rFonts w:ascii="Tahoma" w:hAnsi="Tahoma" w:cs="Tahoma"/>
          <w:color w:val="243444"/>
        </w:rPr>
      </w:pPr>
      <w:r w:rsidRPr="0041511C">
        <w:rPr>
          <w:rFonts w:ascii="Tahoma" w:hAnsi="Tahoma" w:cs="Tahoma"/>
          <w:color w:val="243444"/>
        </w:rPr>
        <w:t xml:space="preserve">We do not view the tax planning process as an annual event. Rather, Andersen professionals are committed to helping you meet your tax planning objectives on a continual basis. Effective tax planning requires attention </w:t>
      </w:r>
      <w:proofErr w:type="gramStart"/>
      <w:r w:rsidRPr="0041511C">
        <w:rPr>
          <w:rFonts w:ascii="Tahoma" w:hAnsi="Tahoma" w:cs="Tahoma"/>
          <w:color w:val="243444"/>
        </w:rPr>
        <w:t>year round</w:t>
      </w:r>
      <w:proofErr w:type="gramEnd"/>
      <w:r w:rsidRPr="0041511C">
        <w:rPr>
          <w:rFonts w:ascii="Tahoma" w:hAnsi="Tahoma" w:cs="Tahoma"/>
          <w:color w:val="243444"/>
        </w:rPr>
        <w:t>, so that we know what you are trying to accomplish and can deliver effective solutions in a way that integrates seamlessly with your financial life.</w:t>
      </w:r>
    </w:p>
    <w:p w14:paraId="1EF1E94E" w14:textId="77777777" w:rsidR="005809CF" w:rsidRPr="0041511C" w:rsidRDefault="005809CF" w:rsidP="005809CF">
      <w:pPr>
        <w:pStyle w:val="NormalWeb"/>
        <w:shd w:val="clear" w:color="auto" w:fill="FFFFFF"/>
        <w:rPr>
          <w:rFonts w:ascii="Tahoma" w:hAnsi="Tahoma" w:cs="Tahoma"/>
          <w:color w:val="243444"/>
        </w:rPr>
      </w:pPr>
      <w:r w:rsidRPr="0041511C">
        <w:rPr>
          <w:rFonts w:ascii="Tahoma" w:hAnsi="Tahoma" w:cs="Tahoma"/>
          <w:color w:val="243444"/>
        </w:rPr>
        <w:t>Further, we are forward-looking and take a multi-year approach to planning. We will help you evaluate not just your current tax situation but also anticipate future transactions, events and changes in tax laws.</w:t>
      </w:r>
    </w:p>
    <w:p w14:paraId="28F0AE6E" w14:textId="77777777" w:rsidR="0041511C" w:rsidRPr="0041511C" w:rsidRDefault="0041511C" w:rsidP="0041511C">
      <w:pPr>
        <w:pStyle w:val="NormalWeb"/>
        <w:rPr>
          <w:rFonts w:ascii="Tahoma" w:hAnsi="Tahoma" w:cs="Tahoma"/>
          <w:color w:val="243444"/>
        </w:rPr>
      </w:pPr>
      <w:r w:rsidRPr="0041511C">
        <w:rPr>
          <w:rFonts w:ascii="Tahoma" w:hAnsi="Tahoma" w:cs="Tahoma"/>
          <w:color w:val="243444"/>
        </w:rPr>
        <w:t>Further, we are forward-looking and take a multi-year approach to planning. We will help you evaluate not just your current tax situation but also anticipate future transactions, events and changes in tax laws.</w:t>
      </w:r>
    </w:p>
    <w:p w14:paraId="3460727A" w14:textId="77777777" w:rsidR="0041511C" w:rsidRPr="0041511C" w:rsidRDefault="0041511C" w:rsidP="0041511C">
      <w:pPr>
        <w:pStyle w:val="NormalWeb"/>
        <w:rPr>
          <w:rFonts w:ascii="Tahoma" w:hAnsi="Tahoma" w:cs="Tahoma"/>
          <w:color w:val="243444"/>
        </w:rPr>
      </w:pPr>
      <w:r w:rsidRPr="0041511C">
        <w:rPr>
          <w:rFonts w:ascii="Tahoma" w:hAnsi="Tahoma" w:cs="Tahoma"/>
          <w:color w:val="243444"/>
        </w:rPr>
        <w:t>The comprehensive income tax services offered by Andersen professionals include:</w:t>
      </w:r>
    </w:p>
    <w:p w14:paraId="731474DB"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i/>
          <w:iCs/>
          <w:sz w:val="24"/>
          <w:szCs w:val="24"/>
        </w:rPr>
        <w:lastRenderedPageBreak/>
        <w:t>Tax return preparation</w:t>
      </w:r>
      <w:r w:rsidRPr="0041511C">
        <w:rPr>
          <w:rFonts w:ascii="Tahoma" w:eastAsia="Times New Roman" w:hAnsi="Tahoma" w:cs="Tahoma"/>
          <w:color w:val="243444"/>
          <w:sz w:val="24"/>
          <w:szCs w:val="24"/>
        </w:rPr>
        <w:t> using proprietary methodology designed not only to ensure accuracy but also to identify tax planning opportunities </w:t>
      </w:r>
    </w:p>
    <w:p w14:paraId="72D3DAC9"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Integration of income tax planning and compliance with partnership, corporate and charitable entities so that all services are coordinated with an awareness of the total tax and financial situation</w:t>
      </w:r>
    </w:p>
    <w:p w14:paraId="447D3A25"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Multi-year tax planning including maximizing the benefit of timing income and deductions</w:t>
      </w:r>
    </w:p>
    <w:p w14:paraId="132C714A"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Gaining maximum tax benefits from charitable giving</w:t>
      </w:r>
    </w:p>
    <w:p w14:paraId="2B02E12D"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Multistate individual taxation, including residency issues, income-sourcing and minimization of state and local taxes</w:t>
      </w:r>
    </w:p>
    <w:p w14:paraId="28854527"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Identification of tax-efficient opportunities for single stock concentration and </w:t>
      </w:r>
      <w:hyperlink r:id="rId9" w:history="1">
        <w:r w:rsidRPr="0041511C">
          <w:rPr>
            <w:rFonts w:ascii="Tahoma" w:eastAsia="Times New Roman" w:hAnsi="Tahoma" w:cs="Tahoma"/>
            <w:color w:val="243444"/>
            <w:sz w:val="24"/>
            <w:szCs w:val="24"/>
          </w:rPr>
          <w:t>diversification issues</w:t>
        </w:r>
      </w:hyperlink>
    </w:p>
    <w:p w14:paraId="1BBABFCA"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Planning to maximize the tax benefit from investment related expenses, investment interest expense and capital losses</w:t>
      </w:r>
    </w:p>
    <w:p w14:paraId="665C5AF5"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Alternative minimum tax (AMT) planning to minimize the loss of deductions to the AMT as well as the adverse effects on the effective tax rate</w:t>
      </w:r>
    </w:p>
    <w:p w14:paraId="001A5A26"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Quarterly tax projections designed to ensure timely filings, protect against interest and penalties, and facilitate cash-flow management</w:t>
      </w:r>
    </w:p>
    <w:p w14:paraId="0E0121EC"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Representation and support in IRS or state tax audits</w:t>
      </w:r>
    </w:p>
    <w:p w14:paraId="5C7F2477" w14:textId="77777777" w:rsidR="0041511C" w:rsidRPr="0041511C" w:rsidRDefault="0041511C" w:rsidP="0041511C">
      <w:pPr>
        <w:numPr>
          <w:ilvl w:val="0"/>
          <w:numId w:val="6"/>
        </w:numPr>
        <w:spacing w:before="100" w:beforeAutospacing="1" w:after="100" w:afterAutospacing="1" w:line="240" w:lineRule="auto"/>
        <w:rPr>
          <w:rFonts w:ascii="Tahoma" w:eastAsia="Times New Roman" w:hAnsi="Tahoma" w:cs="Tahoma"/>
          <w:color w:val="243444"/>
          <w:sz w:val="24"/>
          <w:szCs w:val="24"/>
        </w:rPr>
      </w:pPr>
      <w:r w:rsidRPr="0041511C">
        <w:rPr>
          <w:rFonts w:ascii="Tahoma" w:eastAsia="Times New Roman" w:hAnsi="Tahoma" w:cs="Tahoma"/>
          <w:color w:val="243444"/>
          <w:sz w:val="24"/>
          <w:szCs w:val="24"/>
        </w:rPr>
        <w:t>Legislative updates to inform you of tax changes and opportunities</w:t>
      </w:r>
    </w:p>
    <w:p w14:paraId="14A6C740" w14:textId="77777777" w:rsidR="0041511C" w:rsidRPr="0041511C" w:rsidRDefault="0041511C" w:rsidP="0041511C">
      <w:pPr>
        <w:pStyle w:val="Heading4"/>
        <w:shd w:val="clear" w:color="auto" w:fill="FFFFFF"/>
        <w:spacing w:before="0"/>
        <w:rPr>
          <w:rFonts w:ascii="Tahoma" w:eastAsia="Times New Roman" w:hAnsi="Tahoma" w:cs="Tahoma"/>
          <w:i w:val="0"/>
          <w:iCs w:val="0"/>
          <w:color w:val="243444"/>
          <w:sz w:val="24"/>
          <w:szCs w:val="24"/>
        </w:rPr>
      </w:pPr>
      <w:r w:rsidRPr="0041511C">
        <w:rPr>
          <w:rFonts w:ascii="Tahoma" w:eastAsia="Times New Roman" w:hAnsi="Tahoma" w:cs="Tahoma"/>
          <w:i w:val="0"/>
          <w:iCs w:val="0"/>
          <w:color w:val="243444"/>
          <w:sz w:val="24"/>
          <w:szCs w:val="24"/>
        </w:rPr>
        <w:t>FROM THE NEWSLETTER</w:t>
      </w:r>
    </w:p>
    <w:p w14:paraId="544063D0" w14:textId="22678FA5" w:rsidR="0046256C" w:rsidRDefault="0046256C" w:rsidP="0059284E">
      <w:pPr>
        <w:pStyle w:val="NoSpacing"/>
        <w:jc w:val="both"/>
        <w:rPr>
          <w:rFonts w:ascii="Tahoma" w:eastAsia="Times New Roman" w:hAnsi="Tahoma" w:cs="Tahoma"/>
          <w:color w:val="243444"/>
          <w:sz w:val="24"/>
          <w:szCs w:val="24"/>
        </w:rPr>
      </w:pPr>
    </w:p>
    <w:sectPr w:rsidR="00462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415"/>
    <w:multiLevelType w:val="hybridMultilevel"/>
    <w:tmpl w:val="7AEE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39D4"/>
    <w:multiLevelType w:val="hybridMultilevel"/>
    <w:tmpl w:val="5880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A30E6"/>
    <w:multiLevelType w:val="hybridMultilevel"/>
    <w:tmpl w:val="9B129004"/>
    <w:lvl w:ilvl="0" w:tplc="5D0E346C">
      <w:start w:val="1"/>
      <w:numFmt w:val="decimal"/>
      <w:lvlText w:val="%1."/>
      <w:lvlJc w:val="left"/>
      <w:pPr>
        <w:ind w:left="720" w:hanging="360"/>
      </w:pPr>
      <w:rPr>
        <w:rFonts w:ascii="Arial" w:eastAsiaTheme="minorHAnsi" w:hAnsi="Arial" w:cs="Arial" w:hint="default"/>
        <w:color w:val="202124"/>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11043"/>
    <w:multiLevelType w:val="multilevel"/>
    <w:tmpl w:val="207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C240D0"/>
    <w:multiLevelType w:val="hybridMultilevel"/>
    <w:tmpl w:val="500A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E1894"/>
    <w:multiLevelType w:val="multilevel"/>
    <w:tmpl w:val="5AB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E939A5"/>
    <w:multiLevelType w:val="multilevel"/>
    <w:tmpl w:val="493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86"/>
    <w:rsid w:val="00001BE0"/>
    <w:rsid w:val="00085D0A"/>
    <w:rsid w:val="001B4324"/>
    <w:rsid w:val="001D598C"/>
    <w:rsid w:val="00274F58"/>
    <w:rsid w:val="003054E5"/>
    <w:rsid w:val="00347834"/>
    <w:rsid w:val="0039371C"/>
    <w:rsid w:val="003E4BC9"/>
    <w:rsid w:val="0041511C"/>
    <w:rsid w:val="00431410"/>
    <w:rsid w:val="00433E26"/>
    <w:rsid w:val="0046256C"/>
    <w:rsid w:val="004D7340"/>
    <w:rsid w:val="005809CF"/>
    <w:rsid w:val="0059284E"/>
    <w:rsid w:val="006728B1"/>
    <w:rsid w:val="0085640C"/>
    <w:rsid w:val="00922FEE"/>
    <w:rsid w:val="00967C70"/>
    <w:rsid w:val="00A522C6"/>
    <w:rsid w:val="00BF5387"/>
    <w:rsid w:val="00DE2076"/>
    <w:rsid w:val="00E60286"/>
    <w:rsid w:val="00FB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E84F"/>
  <w15:chartTrackingRefBased/>
  <w15:docId w15:val="{AF391B3C-25F4-41AF-BC7D-E636B2E0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25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151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286"/>
    <w:pPr>
      <w:spacing w:after="0" w:line="240" w:lineRule="auto"/>
    </w:pPr>
  </w:style>
  <w:style w:type="paragraph" w:customStyle="1" w:styleId="paragraph">
    <w:name w:val="paragraph"/>
    <w:basedOn w:val="Normal"/>
    <w:rsid w:val="0000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BE0"/>
  </w:style>
  <w:style w:type="character" w:customStyle="1" w:styleId="eop">
    <w:name w:val="eop"/>
    <w:basedOn w:val="DefaultParagraphFont"/>
    <w:rsid w:val="00001BE0"/>
  </w:style>
  <w:style w:type="paragraph" w:styleId="ListParagraph">
    <w:name w:val="List Paragraph"/>
    <w:basedOn w:val="Normal"/>
    <w:uiPriority w:val="34"/>
    <w:qFormat/>
    <w:rsid w:val="0039371C"/>
    <w:pPr>
      <w:ind w:left="720"/>
      <w:contextualSpacing/>
    </w:pPr>
  </w:style>
  <w:style w:type="character" w:customStyle="1" w:styleId="Heading3Char">
    <w:name w:val="Heading 3 Char"/>
    <w:basedOn w:val="DefaultParagraphFont"/>
    <w:link w:val="Heading3"/>
    <w:uiPriority w:val="9"/>
    <w:rsid w:val="004625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2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511C"/>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41511C"/>
    <w:rPr>
      <w:i/>
      <w:iCs/>
    </w:rPr>
  </w:style>
  <w:style w:type="character" w:styleId="Hyperlink">
    <w:name w:val="Hyperlink"/>
    <w:basedOn w:val="DefaultParagraphFont"/>
    <w:uiPriority w:val="99"/>
    <w:semiHidden/>
    <w:unhideWhenUsed/>
    <w:rsid w:val="00415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796">
      <w:bodyDiv w:val="1"/>
      <w:marLeft w:val="0"/>
      <w:marRight w:val="0"/>
      <w:marTop w:val="0"/>
      <w:marBottom w:val="0"/>
      <w:divBdr>
        <w:top w:val="none" w:sz="0" w:space="0" w:color="auto"/>
        <w:left w:val="none" w:sz="0" w:space="0" w:color="auto"/>
        <w:bottom w:val="none" w:sz="0" w:space="0" w:color="auto"/>
        <w:right w:val="none" w:sz="0" w:space="0" w:color="auto"/>
      </w:divBdr>
      <w:divsChild>
        <w:div w:id="1140417671">
          <w:marLeft w:val="0"/>
          <w:marRight w:val="0"/>
          <w:marTop w:val="0"/>
          <w:marBottom w:val="0"/>
          <w:divBdr>
            <w:top w:val="none" w:sz="0" w:space="0" w:color="auto"/>
            <w:left w:val="none" w:sz="0" w:space="0" w:color="auto"/>
            <w:bottom w:val="none" w:sz="0" w:space="0" w:color="auto"/>
            <w:right w:val="none" w:sz="0" w:space="0" w:color="auto"/>
          </w:divBdr>
        </w:div>
        <w:div w:id="1882396460">
          <w:marLeft w:val="0"/>
          <w:marRight w:val="0"/>
          <w:marTop w:val="0"/>
          <w:marBottom w:val="0"/>
          <w:divBdr>
            <w:top w:val="none" w:sz="0" w:space="0" w:color="auto"/>
            <w:left w:val="none" w:sz="0" w:space="0" w:color="auto"/>
            <w:bottom w:val="none" w:sz="0" w:space="0" w:color="auto"/>
            <w:right w:val="none" w:sz="0" w:space="0" w:color="auto"/>
          </w:divBdr>
        </w:div>
      </w:divsChild>
    </w:div>
    <w:div w:id="83961756">
      <w:bodyDiv w:val="1"/>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
        <w:div w:id="680663198">
          <w:marLeft w:val="0"/>
          <w:marRight w:val="0"/>
          <w:marTop w:val="0"/>
          <w:marBottom w:val="0"/>
          <w:divBdr>
            <w:top w:val="none" w:sz="0" w:space="0" w:color="auto"/>
            <w:left w:val="none" w:sz="0" w:space="0" w:color="auto"/>
            <w:bottom w:val="none" w:sz="0" w:space="0" w:color="auto"/>
            <w:right w:val="none" w:sz="0" w:space="0" w:color="auto"/>
          </w:divBdr>
        </w:div>
      </w:divsChild>
    </w:div>
    <w:div w:id="344678290">
      <w:bodyDiv w:val="1"/>
      <w:marLeft w:val="0"/>
      <w:marRight w:val="0"/>
      <w:marTop w:val="0"/>
      <w:marBottom w:val="0"/>
      <w:divBdr>
        <w:top w:val="none" w:sz="0" w:space="0" w:color="auto"/>
        <w:left w:val="none" w:sz="0" w:space="0" w:color="auto"/>
        <w:bottom w:val="none" w:sz="0" w:space="0" w:color="auto"/>
        <w:right w:val="none" w:sz="0" w:space="0" w:color="auto"/>
      </w:divBdr>
      <w:divsChild>
        <w:div w:id="1949269283">
          <w:marLeft w:val="0"/>
          <w:marRight w:val="0"/>
          <w:marTop w:val="0"/>
          <w:marBottom w:val="0"/>
          <w:divBdr>
            <w:top w:val="none" w:sz="0" w:space="0" w:color="auto"/>
            <w:left w:val="none" w:sz="0" w:space="0" w:color="auto"/>
            <w:bottom w:val="none" w:sz="0" w:space="0" w:color="auto"/>
            <w:right w:val="none" w:sz="0" w:space="0" w:color="auto"/>
          </w:divBdr>
        </w:div>
        <w:div w:id="1743211526">
          <w:marLeft w:val="0"/>
          <w:marRight w:val="0"/>
          <w:marTop w:val="0"/>
          <w:marBottom w:val="0"/>
          <w:divBdr>
            <w:top w:val="none" w:sz="0" w:space="0" w:color="auto"/>
            <w:left w:val="none" w:sz="0" w:space="0" w:color="auto"/>
            <w:bottom w:val="none" w:sz="0" w:space="0" w:color="auto"/>
            <w:right w:val="none" w:sz="0" w:space="0" w:color="auto"/>
          </w:divBdr>
        </w:div>
      </w:divsChild>
    </w:div>
    <w:div w:id="451442415">
      <w:bodyDiv w:val="1"/>
      <w:marLeft w:val="0"/>
      <w:marRight w:val="0"/>
      <w:marTop w:val="0"/>
      <w:marBottom w:val="0"/>
      <w:divBdr>
        <w:top w:val="none" w:sz="0" w:space="0" w:color="auto"/>
        <w:left w:val="none" w:sz="0" w:space="0" w:color="auto"/>
        <w:bottom w:val="none" w:sz="0" w:space="0" w:color="auto"/>
        <w:right w:val="none" w:sz="0" w:space="0" w:color="auto"/>
      </w:divBdr>
      <w:divsChild>
        <w:div w:id="431510464">
          <w:marLeft w:val="0"/>
          <w:marRight w:val="0"/>
          <w:marTop w:val="0"/>
          <w:marBottom w:val="0"/>
          <w:divBdr>
            <w:top w:val="none" w:sz="0" w:space="0" w:color="auto"/>
            <w:left w:val="none" w:sz="0" w:space="0" w:color="auto"/>
            <w:bottom w:val="none" w:sz="0" w:space="0" w:color="auto"/>
            <w:right w:val="none" w:sz="0" w:space="0" w:color="auto"/>
          </w:divBdr>
        </w:div>
      </w:divsChild>
    </w:div>
    <w:div w:id="922571166">
      <w:bodyDiv w:val="1"/>
      <w:marLeft w:val="0"/>
      <w:marRight w:val="0"/>
      <w:marTop w:val="0"/>
      <w:marBottom w:val="0"/>
      <w:divBdr>
        <w:top w:val="none" w:sz="0" w:space="0" w:color="auto"/>
        <w:left w:val="none" w:sz="0" w:space="0" w:color="auto"/>
        <w:bottom w:val="none" w:sz="0" w:space="0" w:color="auto"/>
        <w:right w:val="none" w:sz="0" w:space="0" w:color="auto"/>
      </w:divBdr>
      <w:divsChild>
        <w:div w:id="1978142233">
          <w:marLeft w:val="0"/>
          <w:marRight w:val="0"/>
          <w:marTop w:val="0"/>
          <w:marBottom w:val="0"/>
          <w:divBdr>
            <w:top w:val="none" w:sz="0" w:space="0" w:color="auto"/>
            <w:left w:val="none" w:sz="0" w:space="0" w:color="auto"/>
            <w:bottom w:val="none" w:sz="0" w:space="0" w:color="auto"/>
            <w:right w:val="none" w:sz="0" w:space="0" w:color="auto"/>
          </w:divBdr>
        </w:div>
        <w:div w:id="1787963930">
          <w:marLeft w:val="0"/>
          <w:marRight w:val="0"/>
          <w:marTop w:val="0"/>
          <w:marBottom w:val="0"/>
          <w:divBdr>
            <w:top w:val="none" w:sz="0" w:space="0" w:color="auto"/>
            <w:left w:val="none" w:sz="0" w:space="0" w:color="auto"/>
            <w:bottom w:val="none" w:sz="0" w:space="0" w:color="auto"/>
            <w:right w:val="none" w:sz="0" w:space="0" w:color="auto"/>
          </w:divBdr>
        </w:div>
      </w:divsChild>
    </w:div>
    <w:div w:id="996038696">
      <w:bodyDiv w:val="1"/>
      <w:marLeft w:val="0"/>
      <w:marRight w:val="0"/>
      <w:marTop w:val="0"/>
      <w:marBottom w:val="0"/>
      <w:divBdr>
        <w:top w:val="none" w:sz="0" w:space="0" w:color="auto"/>
        <w:left w:val="none" w:sz="0" w:space="0" w:color="auto"/>
        <w:bottom w:val="none" w:sz="0" w:space="0" w:color="auto"/>
        <w:right w:val="none" w:sz="0" w:space="0" w:color="auto"/>
      </w:divBdr>
    </w:div>
    <w:div w:id="1027215693">
      <w:bodyDiv w:val="1"/>
      <w:marLeft w:val="0"/>
      <w:marRight w:val="0"/>
      <w:marTop w:val="0"/>
      <w:marBottom w:val="0"/>
      <w:divBdr>
        <w:top w:val="none" w:sz="0" w:space="0" w:color="auto"/>
        <w:left w:val="none" w:sz="0" w:space="0" w:color="auto"/>
        <w:bottom w:val="none" w:sz="0" w:space="0" w:color="auto"/>
        <w:right w:val="none" w:sz="0" w:space="0" w:color="auto"/>
      </w:divBdr>
      <w:divsChild>
        <w:div w:id="2036074176">
          <w:marLeft w:val="0"/>
          <w:marRight w:val="0"/>
          <w:marTop w:val="0"/>
          <w:marBottom w:val="0"/>
          <w:divBdr>
            <w:top w:val="none" w:sz="0" w:space="0" w:color="auto"/>
            <w:left w:val="none" w:sz="0" w:space="0" w:color="auto"/>
            <w:bottom w:val="none" w:sz="0" w:space="0" w:color="auto"/>
            <w:right w:val="none" w:sz="0" w:space="0" w:color="auto"/>
          </w:divBdr>
        </w:div>
      </w:divsChild>
    </w:div>
    <w:div w:id="1280839696">
      <w:bodyDiv w:val="1"/>
      <w:marLeft w:val="0"/>
      <w:marRight w:val="0"/>
      <w:marTop w:val="0"/>
      <w:marBottom w:val="0"/>
      <w:divBdr>
        <w:top w:val="none" w:sz="0" w:space="0" w:color="auto"/>
        <w:left w:val="none" w:sz="0" w:space="0" w:color="auto"/>
        <w:bottom w:val="none" w:sz="0" w:space="0" w:color="auto"/>
        <w:right w:val="none" w:sz="0" w:space="0" w:color="auto"/>
      </w:divBdr>
      <w:divsChild>
        <w:div w:id="2129661242">
          <w:marLeft w:val="0"/>
          <w:marRight w:val="0"/>
          <w:marTop w:val="0"/>
          <w:marBottom w:val="0"/>
          <w:divBdr>
            <w:top w:val="none" w:sz="0" w:space="0" w:color="auto"/>
            <w:left w:val="none" w:sz="0" w:space="0" w:color="auto"/>
            <w:bottom w:val="none" w:sz="0" w:space="0" w:color="auto"/>
            <w:right w:val="none" w:sz="0" w:space="0" w:color="auto"/>
          </w:divBdr>
        </w:div>
        <w:div w:id="2116291380">
          <w:marLeft w:val="0"/>
          <w:marRight w:val="0"/>
          <w:marTop w:val="0"/>
          <w:marBottom w:val="0"/>
          <w:divBdr>
            <w:top w:val="none" w:sz="0" w:space="0" w:color="auto"/>
            <w:left w:val="none" w:sz="0" w:space="0" w:color="auto"/>
            <w:bottom w:val="none" w:sz="0" w:space="0" w:color="auto"/>
            <w:right w:val="none" w:sz="0" w:space="0" w:color="auto"/>
          </w:divBdr>
        </w:div>
      </w:divsChild>
    </w:div>
    <w:div w:id="1382099043">
      <w:bodyDiv w:val="1"/>
      <w:marLeft w:val="0"/>
      <w:marRight w:val="0"/>
      <w:marTop w:val="0"/>
      <w:marBottom w:val="0"/>
      <w:divBdr>
        <w:top w:val="none" w:sz="0" w:space="0" w:color="auto"/>
        <w:left w:val="none" w:sz="0" w:space="0" w:color="auto"/>
        <w:bottom w:val="none" w:sz="0" w:space="0" w:color="auto"/>
        <w:right w:val="none" w:sz="0" w:space="0" w:color="auto"/>
      </w:divBdr>
    </w:div>
    <w:div w:id="1597833339">
      <w:bodyDiv w:val="1"/>
      <w:marLeft w:val="0"/>
      <w:marRight w:val="0"/>
      <w:marTop w:val="0"/>
      <w:marBottom w:val="0"/>
      <w:divBdr>
        <w:top w:val="none" w:sz="0" w:space="0" w:color="auto"/>
        <w:left w:val="none" w:sz="0" w:space="0" w:color="auto"/>
        <w:bottom w:val="none" w:sz="0" w:space="0" w:color="auto"/>
        <w:right w:val="none" w:sz="0" w:space="0" w:color="auto"/>
      </w:divBdr>
      <w:divsChild>
        <w:div w:id="1158182370">
          <w:marLeft w:val="0"/>
          <w:marRight w:val="0"/>
          <w:marTop w:val="0"/>
          <w:marBottom w:val="0"/>
          <w:divBdr>
            <w:top w:val="none" w:sz="0" w:space="0" w:color="auto"/>
            <w:left w:val="none" w:sz="0" w:space="0" w:color="auto"/>
            <w:bottom w:val="none" w:sz="0" w:space="0" w:color="auto"/>
            <w:right w:val="none" w:sz="0" w:space="0" w:color="auto"/>
          </w:divBdr>
        </w:div>
        <w:div w:id="2136367136">
          <w:marLeft w:val="0"/>
          <w:marRight w:val="0"/>
          <w:marTop w:val="0"/>
          <w:marBottom w:val="0"/>
          <w:divBdr>
            <w:top w:val="none" w:sz="0" w:space="0" w:color="auto"/>
            <w:left w:val="none" w:sz="0" w:space="0" w:color="auto"/>
            <w:bottom w:val="none" w:sz="0" w:space="0" w:color="auto"/>
            <w:right w:val="none" w:sz="0" w:space="0" w:color="auto"/>
          </w:divBdr>
        </w:div>
      </w:divsChild>
    </w:div>
    <w:div w:id="1736707319">
      <w:bodyDiv w:val="1"/>
      <w:marLeft w:val="0"/>
      <w:marRight w:val="0"/>
      <w:marTop w:val="0"/>
      <w:marBottom w:val="0"/>
      <w:divBdr>
        <w:top w:val="none" w:sz="0" w:space="0" w:color="auto"/>
        <w:left w:val="none" w:sz="0" w:space="0" w:color="auto"/>
        <w:bottom w:val="none" w:sz="0" w:space="0" w:color="auto"/>
        <w:right w:val="none" w:sz="0" w:space="0" w:color="auto"/>
      </w:divBdr>
      <w:divsChild>
        <w:div w:id="71632354">
          <w:marLeft w:val="0"/>
          <w:marRight w:val="0"/>
          <w:marTop w:val="0"/>
          <w:marBottom w:val="0"/>
          <w:divBdr>
            <w:top w:val="none" w:sz="0" w:space="0" w:color="auto"/>
            <w:left w:val="none" w:sz="0" w:space="0" w:color="auto"/>
            <w:bottom w:val="none" w:sz="0" w:space="0" w:color="auto"/>
            <w:right w:val="none" w:sz="0" w:space="0" w:color="auto"/>
          </w:divBdr>
        </w:div>
        <w:div w:id="979844887">
          <w:marLeft w:val="0"/>
          <w:marRight w:val="0"/>
          <w:marTop w:val="0"/>
          <w:marBottom w:val="0"/>
          <w:divBdr>
            <w:top w:val="none" w:sz="0" w:space="0" w:color="auto"/>
            <w:left w:val="none" w:sz="0" w:space="0" w:color="auto"/>
            <w:bottom w:val="none" w:sz="0" w:space="0" w:color="auto"/>
            <w:right w:val="none" w:sz="0" w:space="0" w:color="auto"/>
          </w:divBdr>
        </w:div>
      </w:divsChild>
    </w:div>
    <w:div w:id="1776900670">
      <w:bodyDiv w:val="1"/>
      <w:marLeft w:val="0"/>
      <w:marRight w:val="0"/>
      <w:marTop w:val="0"/>
      <w:marBottom w:val="0"/>
      <w:divBdr>
        <w:top w:val="none" w:sz="0" w:space="0" w:color="auto"/>
        <w:left w:val="none" w:sz="0" w:space="0" w:color="auto"/>
        <w:bottom w:val="none" w:sz="0" w:space="0" w:color="auto"/>
        <w:right w:val="none" w:sz="0" w:space="0" w:color="auto"/>
      </w:divBdr>
      <w:divsChild>
        <w:div w:id="1429734284">
          <w:marLeft w:val="0"/>
          <w:marRight w:val="0"/>
          <w:marTop w:val="0"/>
          <w:marBottom w:val="0"/>
          <w:divBdr>
            <w:top w:val="none" w:sz="0" w:space="0" w:color="auto"/>
            <w:left w:val="none" w:sz="0" w:space="0" w:color="auto"/>
            <w:bottom w:val="none" w:sz="0" w:space="0" w:color="auto"/>
            <w:right w:val="none" w:sz="0" w:space="0" w:color="auto"/>
          </w:divBdr>
        </w:div>
        <w:div w:id="402333597">
          <w:marLeft w:val="0"/>
          <w:marRight w:val="0"/>
          <w:marTop w:val="0"/>
          <w:marBottom w:val="0"/>
          <w:divBdr>
            <w:top w:val="none" w:sz="0" w:space="0" w:color="auto"/>
            <w:left w:val="none" w:sz="0" w:space="0" w:color="auto"/>
            <w:bottom w:val="none" w:sz="0" w:space="0" w:color="auto"/>
            <w:right w:val="none" w:sz="0" w:space="0" w:color="auto"/>
          </w:divBdr>
        </w:div>
      </w:divsChild>
    </w:div>
    <w:div w:id="1963266416">
      <w:bodyDiv w:val="1"/>
      <w:marLeft w:val="0"/>
      <w:marRight w:val="0"/>
      <w:marTop w:val="0"/>
      <w:marBottom w:val="0"/>
      <w:divBdr>
        <w:top w:val="none" w:sz="0" w:space="0" w:color="auto"/>
        <w:left w:val="none" w:sz="0" w:space="0" w:color="auto"/>
        <w:bottom w:val="none" w:sz="0" w:space="0" w:color="auto"/>
        <w:right w:val="none" w:sz="0" w:space="0" w:color="auto"/>
      </w:divBdr>
      <w:divsChild>
        <w:div w:id="53897244">
          <w:marLeft w:val="0"/>
          <w:marRight w:val="0"/>
          <w:marTop w:val="0"/>
          <w:marBottom w:val="0"/>
          <w:divBdr>
            <w:top w:val="none" w:sz="0" w:space="0" w:color="auto"/>
            <w:left w:val="none" w:sz="0" w:space="0" w:color="auto"/>
            <w:bottom w:val="none" w:sz="0" w:space="0" w:color="auto"/>
            <w:right w:val="none" w:sz="0" w:space="0" w:color="auto"/>
          </w:divBdr>
          <w:divsChild>
            <w:div w:id="256064384">
              <w:marLeft w:val="0"/>
              <w:marRight w:val="0"/>
              <w:marTop w:val="0"/>
              <w:marBottom w:val="0"/>
              <w:divBdr>
                <w:top w:val="none" w:sz="0" w:space="0" w:color="auto"/>
                <w:left w:val="none" w:sz="0" w:space="0" w:color="auto"/>
                <w:bottom w:val="none" w:sz="0" w:space="0" w:color="auto"/>
                <w:right w:val="none" w:sz="0" w:space="0" w:color="auto"/>
              </w:divBdr>
            </w:div>
            <w:div w:id="1528520294">
              <w:marLeft w:val="0"/>
              <w:marRight w:val="0"/>
              <w:marTop w:val="0"/>
              <w:marBottom w:val="0"/>
              <w:divBdr>
                <w:top w:val="none" w:sz="0" w:space="0" w:color="auto"/>
                <w:left w:val="none" w:sz="0" w:space="0" w:color="auto"/>
                <w:bottom w:val="none" w:sz="0" w:space="0" w:color="auto"/>
                <w:right w:val="none" w:sz="0" w:space="0" w:color="auto"/>
              </w:divBdr>
            </w:div>
          </w:divsChild>
        </w:div>
        <w:div w:id="2020694926">
          <w:marLeft w:val="0"/>
          <w:marRight w:val="0"/>
          <w:marTop w:val="0"/>
          <w:marBottom w:val="0"/>
          <w:divBdr>
            <w:top w:val="none" w:sz="0" w:space="0" w:color="auto"/>
            <w:left w:val="none" w:sz="0" w:space="0" w:color="auto"/>
            <w:bottom w:val="none" w:sz="0" w:space="0" w:color="auto"/>
            <w:right w:val="none" w:sz="0" w:space="0" w:color="auto"/>
          </w:divBdr>
          <w:divsChild>
            <w:div w:id="17906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dersen.com/services/for-private-clients/private-wealth/families-with-multi-generational-wealth/financial-planning/stock-equity-and-diversification-planni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AE42A60A0A84CA708088D62CA7FED" ma:contentTypeVersion="14" ma:contentTypeDescription="Create a new document." ma:contentTypeScope="" ma:versionID="cca422753f5901d703f4ecdcdff873a1">
  <xsd:schema xmlns:xsd="http://www.w3.org/2001/XMLSchema" xmlns:xs="http://www.w3.org/2001/XMLSchema" xmlns:p="http://schemas.microsoft.com/office/2006/metadata/properties" xmlns:ns2="8b23858d-f315-414d-b59e-8b73e2479e82" xmlns:ns3="78d4c7ff-487d-4a83-9f34-7433f7f423ec" targetNamespace="http://schemas.microsoft.com/office/2006/metadata/properties" ma:root="true" ma:fieldsID="928bc368e40ee3b0a152d25976f4ff4a" ns2:_="" ns3:_="">
    <xsd:import namespace="8b23858d-f315-414d-b59e-8b73e2479e82"/>
    <xsd:import namespace="78d4c7ff-487d-4a83-9f34-7433f7f4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3858d-f315-414d-b59e-8b73e2479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90148-b90c-4ed1-a67b-99f7c03598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4c7ff-487d-4a83-9f34-7433f7f423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9e0f91-4dac-4765-8e91-8621adbe6bda}" ma:internalName="TaxCatchAll" ma:showField="CatchAllData" ma:web="78d4c7ff-487d-4a83-9f34-7433f7f4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3858d-f315-414d-b59e-8b73e2479e82">
      <Terms xmlns="http://schemas.microsoft.com/office/infopath/2007/PartnerControls"/>
    </lcf76f155ced4ddcb4097134ff3c332f>
    <TaxCatchAll xmlns="78d4c7ff-487d-4a83-9f34-7433f7f423ec" xsi:nil="true"/>
  </documentManagement>
</p:properties>
</file>

<file path=customXml/itemProps1.xml><?xml version="1.0" encoding="utf-8"?>
<ds:datastoreItem xmlns:ds="http://schemas.openxmlformats.org/officeDocument/2006/customXml" ds:itemID="{F24D7160-E0A8-437F-B758-8C9C2435A6C0}"/>
</file>

<file path=customXml/itemProps2.xml><?xml version="1.0" encoding="utf-8"?>
<ds:datastoreItem xmlns:ds="http://schemas.openxmlformats.org/officeDocument/2006/customXml" ds:itemID="{74EE1F4F-2E95-47A1-882F-2F51B1890048}"/>
</file>

<file path=customXml/itemProps3.xml><?xml version="1.0" encoding="utf-8"?>
<ds:datastoreItem xmlns:ds="http://schemas.openxmlformats.org/officeDocument/2006/customXml" ds:itemID="{EA50A343-2C6D-495D-B50B-DF52E519374D}"/>
</file>

<file path=docProps/app.xml><?xml version="1.0" encoding="utf-8"?>
<Properties xmlns="http://schemas.openxmlformats.org/officeDocument/2006/extended-properties" xmlns:vt="http://schemas.openxmlformats.org/officeDocument/2006/docPropsVTypes">
  <Template>Normal</Template>
  <TotalTime>51</TotalTime>
  <Pages>7</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Olajide Yesufu</dc:creator>
  <cp:keywords/>
  <dc:description/>
  <cp:lastModifiedBy>Olajide Yesufu</cp:lastModifiedBy>
  <cp:revision>3</cp:revision>
  <dcterms:created xsi:type="dcterms:W3CDTF">2021-05-11T18:09:00Z</dcterms:created>
  <dcterms:modified xsi:type="dcterms:W3CDTF">2021-05-11T19:01:00Z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0x010100943AE42A60A0A84CA708088D62CA7FED</vt:lpwstr>
  </property>
</Properties>
</file>